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16.03.2026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Методика расчёта себестоимости продукции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методика устанавливает порядок расчёта плановой (нормативной) и фактической себестоимости продукции ГК «Родос-Деталь», состав прямых и косвенных затрат и порядок распределения общепроизводственных расходов по центрам финансовой ответственности (ЦФО).</w:t>
      </w:r>
    </w:p>
    <w:p>
      <w:r>
        <w:t>1.2. Методика обязательна для финансовой службы, главного технолога, начальников цехов и отдела технического контроля в части, касающейся учёта брака.</w:t>
      </w:r>
    </w:p>
    <w:p>
      <w:r>
        <w:t>1.3. Расчёт себестоимости ведётся позаказно, по каждому чертежу детали или узла, с последующим сведением в себестоимость номенклатурной позиции по прайс-листу.</w:t>
      </w:r>
    </w:p>
    <w:p>
      <w:r>
        <w:t>1.4. Себестоимость рассчитывается отдельно по каждой из трёх площадок предприятия, поскольку цеха, формирующие прямые и косвенные затраты по одной детали, могут относиться к разным площадкам (например, заготовительные операции — в Коврове, термообработка и гальваническое покрытие — в Перми, сборка — в Тольятти).</w:t>
      </w:r>
    </w:p>
    <w:p>
      <w:pPr>
        <w:pStyle w:val="Heading2"/>
      </w:pPr>
      <w:r>
        <w:t>2. Прямые затраты</w:t>
      </w:r>
    </w:p>
    <w:p>
      <w:r>
        <w:t>2.1. К прямым затратам относятся: основные материалы, покупные полуфабрикаты и комплектующие, оплата труда основных производственных рабочих со страховыми взносами, технологическая оснастка и инструмент разового применения.</w:t>
      </w:r>
    </w:p>
    <w:p>
      <w:r>
        <w:t>2.2. Расход основных материалов на деталь определяется по нормам, установленным в Нормативах списания материалов и инструмента (NORM-SPIS-2026), по ценам, указанным в том же документе.</w:t>
      </w:r>
    </w:p>
    <w:p>
      <w:r>
        <w:t>2.3. Оплата труда основных производственных рабочих при сдельной системе оплаты включается в прямые затраты по нормо-часам операции и расценке; при повременной системе — пропорционально времени, отработанному на изготовлении партии.</w:t>
      </w:r>
    </w:p>
    <w:p>
      <w:r>
        <w:t>2.4. Системы оплаты труда, применяемые для расчёта прямых затрат на оплату труда, устанавливаются Положением об оплате труда и премировании (FIN-POL-OPLTRUDA).</w:t>
      </w:r>
    </w:p>
    <w:p>
      <w:pPr>
        <w:pStyle w:val="Heading2"/>
      </w:pPr>
      <w:r>
        <w:t>3. Косвенные затраты и базы распределения</w:t>
      </w:r>
    </w:p>
    <w:p>
      <w:r>
        <w:t>3.1. К косвенным затратам относятся общепроизводственные расходы цехов (ЦФО-101 — ЦФО-106) и общехозяйственные расходы обслуживающих и административных ЦФО (ЦФО-201 — ЦФО-208).</w:t>
      </w:r>
    </w:p>
    <w:p>
      <w:r>
        <w:t>3.2. Общепроизводственные расходы цеха распределяются на детали, изготовленные в этом цехе, пропорционально станко-часам оборудования, занятым при изготовлении партии.</w:t>
      </w:r>
    </w:p>
    <w:p>
      <w:r>
        <w:t>3.3. Общехозяйственные расходы ЦФО-201 «Технологический отдел», ЦФО-202 «Отдел технического контроля», ЦФО-204 «Отдел снабжения» и ЦФО-207 «Администрация и финансовая служба» распределяются на себестоимость продукции пропорционально прямой заработной плате основных производственных рабочих.</w:t>
      </w:r>
    </w:p>
    <w:p>
      <w:r>
        <w:t>3.4. Расходы ЦФО-203 «Отдел главного механика, ТОиР» распределяются между цехами пропорционально балансовой стоимости обслуживаемого оборудования, закреплённого за цехом.</w:t>
      </w:r>
    </w:p>
    <w:p>
      <w:r>
        <w:t>3.5. Расходы ЦФО-206 «Служба охраны труда» распределяются пропорционально среднесписочной численности рабочих цеха.</w:t>
      </w:r>
    </w:p>
    <w:p>
      <w:r>
        <w:t>3.6. Ставка распределения косвенных затрат по каждой базе пересматривается ежеквартально финансовой службой на основании бюджета ЦФО на 2026 год (BUDGET-2026) и фактического исполнения (PLANFACT-2026-08).</w:t>
      </w:r>
    </w:p>
    <w:p>
      <w:r>
        <w:t>3.7. Пересчёт себестоимости по новой ставке распределения косвенных затрат обратной силы не имеет и применяется к партиям, запущенным в производство после даты утверждения новой ставки финансовым директором.</w:t>
      </w:r>
    </w:p>
    <w:p>
      <w:pPr>
        <w:pStyle w:val="Heading2"/>
      </w:pPr>
      <w:r>
        <w:t>4. Нормативная себестоимость</w:t>
      </w:r>
    </w:p>
    <w:p>
      <w:r>
        <w:t>4.1. Нормативная себестоимость детали или узла рассчитывается до начала серийного производства на основании действующей технологической карты, норм расхода материалов и норм времени по операциям.</w:t>
      </w:r>
    </w:p>
    <w:p>
      <w:r>
        <w:t>4.2. Нормативная себестоимость пересматривается при вводе в действие извещения об изменении конструкторской или технологической документации, а также не реже одного раза в год при пересмотре Нормативов списания материалов и инструмента.</w:t>
      </w:r>
    </w:p>
    <w:p>
      <w:pPr>
        <w:pStyle w:val="Heading2"/>
      </w:pPr>
      <w:r>
        <w:t>5. Фактическая себестоимость и отклонения</w:t>
      </w:r>
    </w:p>
    <w:p>
      <w:r>
        <w:t>5.1. Фактическая себестоимость партии рассчитывается по итогам месяца на основании фактического расхода материалов, фактически отработанного времени и фактически понесённых косвенных затрат ЦФО.</w:t>
      </w:r>
    </w:p>
    <w:p>
      <w:r>
        <w:t>5.2. Отклонение фактической себестоимости от нормативной анализируется по трём группам причин: отклонение по материалам (цена и норма расхода), отклонение по труду (расценка и время), отклонение по косвенным затратам (объём выпуска и сумма расходов ЦФО).</w:t>
      </w:r>
    </w:p>
    <w:p>
      <w:r>
        <w:t>5.3. Отклонение свыше 10 % от нормативной себестоимости по партии рассматривается финансовой службой совместно с главным технологом с указанием причины в отчёте за месяц.</w:t>
      </w:r>
    </w:p>
    <w:p>
      <w:pPr>
        <w:pStyle w:val="Heading2"/>
      </w:pPr>
      <w:r>
        <w:t>6. Учёт брака и его влияние на себестоимость</w:t>
      </w:r>
    </w:p>
    <w:p>
      <w:r>
        <w:t>6.1. Затраты на изготовление детали, признанной браком, списываются с себестоимости годной продукции на основании акта о браке, оформленного отделом технического контроля.</w:t>
      </w:r>
    </w:p>
    <w:p>
      <w:r>
        <w:t>6.2. Стоимость окончательного брака включает стоимость израсходованных материалов и покупных комплектующих по нормам NORM-SPIS-2026, а также заработную плату за выполненные до момента обнаружения брака операции.</w:t>
      </w:r>
    </w:p>
    <w:p>
      <w:r>
        <w:t>6.3. Стоимость исправимого брака определяется как сумма затрат на исправление, дополнительно понесённых сверх нормативной себестоимости детали.</w:t>
      </w:r>
    </w:p>
    <w:p>
      <w:r>
        <w:t>6.4. Взыскание стоимости брака с виновных лиц производится в случаях и в порядке, установленных Положением об оплате труда и премировании (FIN-POL-OPLTRUDA).</w:t>
      </w:r>
    </w:p>
    <w:p>
      <w:r>
        <w:t>6.5. Ежемесячно финансовая служба сопоставляет сумму брака по актам о браке с уровнем, заложенным в нормативной себестоимости, и включает превышение в отклонение по косвенным затратам цеха, допустившего брак.</w:t>
      </w:r>
    </w:p>
    <w:p>
      <w:pPr>
        <w:pStyle w:val="Heading2"/>
      </w:pPr>
      <w:r>
        <w:t>7. Себестоимость незавершённого производства</w:t>
      </w:r>
    </w:p>
    <w:p>
      <w:r>
        <w:t>7.1. Себестоимость незавершённого производства на конец месяца определяется по фактически понесённым прямым затратам на детали и узлы, не прошедшие все операции технологического маршрута, без включения косвенных затрат.</w:t>
      </w:r>
    </w:p>
    <w:p>
      <w:r>
        <w:t>7.2. Остатки незавершённого производства подтверждаются ежемесячной инвентаризацией, проводимой в порядке, установленном Учётной политикой для целей бухгалтерского учёта на 2026 год (FIN-UCHPOL-2026).</w:t>
      </w:r>
    </w:p>
    <w:p>
      <w:pPr>
        <w:pStyle w:val="Heading2"/>
      </w:pPr>
      <w:r>
        <w:t>8. Итоговый расчёт и передача данных</w:t>
      </w:r>
    </w:p>
    <w:p>
      <w:r>
        <w:t>8.1. Финансовая служба формирует свод себестоимости по номенклатуре не позднее 10-го числа месяца, следующего за отчётным, и передаёт его коммерческому директору для актуализации прайс-листа.</w:t>
      </w:r>
    </w:p>
    <w:p>
      <w:r>
        <w:t>8.2. Свод себестоимости используется при формировании плана-факта по ЦФО (PLANFACT-2026-08) в части расходных статей.</w:t>
      </w:r>
    </w:p>
    <w:p>
      <w:pPr>
        <w:pStyle w:val="Heading2"/>
      </w:pPr>
      <w:r>
        <w:t>9. Ответственность</w:t>
      </w:r>
    </w:p>
    <w:p>
      <w:r>
        <w:t>9.1. Ответственность за методологическую корректность расчёта себестоимости несёт финансовый директор.</w:t>
      </w:r>
    </w:p>
    <w:p>
      <w:r>
        <w:t>9.2. Ответственность за своевременное представление данных о фактическом расходе материалов и рабочего времени несёт начальник цеха.</w:t>
      </w:r>
    </w:p>
    <w:p>
      <w:r>
        <w:t>9.3. Ответственность за своевременное оформление актов о браке несёт начальник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