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26.01.2026</w:t>
      </w:r>
    </w:p>
    <w:p>
      <w:pPr>
        <w:pStyle w:val="Title"/>
      </w:pPr>
      <w:r>
        <w:t>Положение о расчётах с подотчётными лицами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Настоящее положение устанавливает порядок выдачи денежных средств под отчёт, использования корпоративных карт, представления авансовых отчётов и удержания невозвращённых подотчётных сумм в ГК «Родос-Деталь».</w:t>
      </w:r>
    </w:p>
    <w:p>
      <w:r>
        <w:t>1.2. Положение обязательно для всех работников, получающих денежные средства под отчёт либо пользующихся корпоративной картой, а также для бухгалтерии.</w:t>
      </w:r>
    </w:p>
    <w:p>
      <w:pPr>
        <w:pStyle w:val="Heading2"/>
      </w:pPr>
      <w:r>
        <w:t>2. Выдача денежных средств под отчёт</w:t>
      </w:r>
    </w:p>
    <w:p>
      <w:r>
        <w:t>2.1. Денежные средства под отчёт выдаются работнику на основании заявления, согласованного руководителем структурного подразделения работника и главным бухгалтером.</w:t>
      </w:r>
    </w:p>
    <w:p>
      <w:r>
        <w:t>2.2. В заявлении указываются: цель расходования, предполагаемая сумма и срок, на который выдаются средства.</w:t>
      </w:r>
    </w:p>
    <w:p>
      <w:r>
        <w:t>2.3. Подотчётному лицу, не отчитавшемуся по ранее выданной сумме, повторная выдача средств под отчёт не производится.</w:t>
      </w:r>
    </w:p>
    <w:p>
      <w:r>
        <w:t>2.4. Выдача под отчёт производится безналичным перечислением на зарплатную карту работника либо с использованием корпоративной карты в соответствии с разделом 4.</w:t>
      </w:r>
    </w:p>
    <w:p>
      <w:pPr>
        <w:pStyle w:val="Heading2"/>
      </w:pPr>
      <w:r>
        <w:t>3. Авансовый отчёт</w:t>
      </w:r>
    </w:p>
    <w:p>
      <w:r>
        <w:t>3.1. Подотчётное лицо представляет в бухгалтерию авансовый отчёт с приложением подтверждающих документов не позднее трёх рабочих дней после дня истечения срока, на который выданы средства, либо со дня возвращения из командировки.</w:t>
      </w:r>
    </w:p>
    <w:p>
      <w:r>
        <w:t>3.2. К авансовому отчёту прилагаются кассовые и товарные чеки, счета, акты, проездные документы, подтверждающие произведённые расходы.</w:t>
      </w:r>
    </w:p>
    <w:p>
      <w:r>
        <w:t>3.3. Бухгалтер по расчётам с контрагентами проверяет авансовый отчёт на соответствие приложенным документам в течение двух рабочих дней с даты представления.</w:t>
      </w:r>
    </w:p>
    <w:p>
      <w:r>
        <w:t>3.4. Утверждает авансовый отчёт главный бухгалтер.</w:t>
      </w:r>
    </w:p>
    <w:p>
      <w:r>
        <w:t>3.5. Расходы, не подтверждённые документами, к зачёту не принимаются и остаются за подотчётным лицом как невозвращённая сумма.</w:t>
      </w:r>
    </w:p>
    <w:p>
      <w:pPr>
        <w:pStyle w:val="Heading2"/>
      </w:pPr>
      <w:r>
        <w:t>4. Корпоративные карты</w:t>
      </w:r>
    </w:p>
    <w:p>
      <w:r>
        <w:t>4.1. Корпоративная карта выдаётся работнику по решению финансового директора для оплаты расходов, связанных со служебными поездками, представительскими и хозяйственными нуждами подразделения.</w:t>
      </w:r>
    </w:p>
    <w:p>
      <w:r>
        <w:t>4.2. Держатель корпоративной карты представляет отчёт об операциях по карте в порядке и в сроки, установленные разделом 3.</w:t>
      </w:r>
    </w:p>
    <w:p>
      <w:r>
        <w:t>4.3. Использование корпоративной карты для личных расходов запрещается.</w:t>
      </w:r>
    </w:p>
    <w:p>
      <w:pPr>
        <w:pStyle w:val="Heading2"/>
      </w:pPr>
      <w:r>
        <w:t>5. Перечень допустимых расходов</w:t>
      </w:r>
    </w:p>
    <w:p>
      <w:r>
        <w:t>5.1. За счёт подотчётных сумм и корпоративных карт допускается оплата: проезда и проживания в служебных командировках, представительских расходов в пределах утверждённой сметы, канцелярских и хозяйственных товаров для нужд подразделения, почтовых и нотариальных услуг.</w:t>
      </w:r>
    </w:p>
    <w:p>
      <w:r>
        <w:t>5.2. Оплата товаров и услуг, не связанных со служебной деятельностью, за счёт подотчётных сумм не допускается.</w:t>
      </w:r>
    </w:p>
    <w:p>
      <w:pPr>
        <w:pStyle w:val="Heading2"/>
      </w:pPr>
      <w:r>
        <w:t>6. Удержание невозвращённых сумм</w:t>
      </w:r>
    </w:p>
    <w:p>
      <w:r>
        <w:t>6.1. Подотчётное лицо, не представившее авансовый отчёт в срок, установленный пунктом 3.1, и не возвратившее неизрасходованный остаток, считается имеющим задолженность перед предприятием.</w:t>
      </w:r>
    </w:p>
    <w:p>
      <w:r>
        <w:t>6.2. Невозвращённая подотчётная сумма удерживается из заработной платы подотчётного лица в порядке, установленном законодательством, на основании приказа генерального директора.</w:t>
      </w:r>
    </w:p>
    <w:p>
      <w:r>
        <w:t>6.3. Главный бухгалтер уведомляет руководителя структурного подразделения о невозвращённой сумме не позднее трёх рабочих дней после истечения срока, установленного пунктом 3.1.</w:t>
      </w:r>
    </w:p>
    <w:p>
      <w:pPr>
        <w:pStyle w:val="Heading2"/>
      </w:pPr>
      <w:r>
        <w:t>7. Ответственность</w:t>
      </w:r>
    </w:p>
    <w:p>
      <w:r>
        <w:t>7.1. Ответственность за целевое использование подотчётных средств несёт подотчётное лицо.</w:t>
      </w:r>
    </w:p>
    <w:p>
      <w:r>
        <w:t>7.2. Ответственность за своевременность проверки и утверждения авансовых отчётов несёт главный бухгалтер.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