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Финансовый директор</w:t>
      </w:r>
    </w:p>
    <w:p>
      <w:r>
        <w:rPr>
          <w:i/>
        </w:rPr>
        <w:t>Дата утверждения: 15.05.2024</w:t>
      </w:r>
    </w:p>
    <w:p>
      <w:r>
        <w:rPr>
          <w:i/>
        </w:rPr>
        <w:t>Редакция: ред. 1</w:t>
      </w:r>
    </w:p>
    <w:p>
      <w:r>
        <w:rPr>
          <w:i/>
        </w:rPr>
        <w:t>Документ заменён: FIN-REGL-002-r2</w:t>
      </w:r>
    </w:p>
    <w:p>
      <w:pPr>
        <w:pStyle w:val="Title"/>
      </w:pPr>
      <w:r>
        <w:t>Регламент согласования платежей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согласования платежей ГК «Родос-Деталь» с расчётных счетов площадок Ковров, Пермь и Тольятти.</w:t>
      </w:r>
    </w:p>
    <w:p>
      <w:r>
        <w:t>1.2. Регламент обязателен для казначея, главного бухгалтера, финансового директора и всех инициаторов платежей.</w:t>
      </w:r>
    </w:p>
    <w:p>
      <w:r>
        <w:t>1.3. Регламент не распространяется на выплату заработной платы и на выдачу денежных средств под отчёт.</w:t>
      </w:r>
    </w:p>
    <w:p>
      <w:pPr>
        <w:pStyle w:val="Heading2"/>
      </w:pPr>
      <w:r>
        <w:t>2. Подача заявки на оплату</w:t>
      </w:r>
    </w:p>
    <w:p>
      <w:r>
        <w:t>2.1. Инициатор платежа подаёт заявку на оплату казначею не позднее двух рабочих дней до срока оплаты, указанного в счёте или договоре.</w:t>
      </w:r>
    </w:p>
    <w:p>
      <w:r>
        <w:t>2.2. Заявка на оплату содержит: наименование контрагента, номер договора или счёта, сумму платежа, назначение платежа и запрашиваемую дату исполнения.</w:t>
      </w:r>
    </w:p>
    <w:p>
      <w:pPr>
        <w:pStyle w:val="Heading2"/>
      </w:pPr>
      <w:r>
        <w:t>3. Согласование платежей</w:t>
      </w:r>
    </w:p>
    <w:p>
      <w:r>
        <w:t>3.1. Платежи на сумму до 1 000 000 ₽ включительно согласует главный бухгалтер.</w:t>
      </w:r>
    </w:p>
    <w:p>
      <w:r>
        <w:t>3.2. Платежи на сумму свыше 1 000 000 ₽ согласует финансовый директор.</w:t>
      </w:r>
    </w:p>
    <w:p>
      <w:r>
        <w:t>3.3. Казначей исполняет платежи, получившие согласование в соответствии с пунктами 3.1 и 3.2, в порядке поступления заявок.</w:t>
      </w:r>
    </w:p>
    <w:p>
      <w:pPr>
        <w:pStyle w:val="Heading2"/>
      </w:pPr>
      <w:r>
        <w:t>4. Срочные платежи</w:t>
      </w:r>
    </w:p>
    <w:p>
      <w:r>
        <w:t>4.1. Срочным считается платёж, заявка на который подана позднее срока, указанного в пункте 2.1.</w:t>
      </w:r>
    </w:p>
    <w:p>
      <w:r>
        <w:t>4.2. Срочный платёж согласует финансовый директор независимо от суммы платежа.</w:t>
      </w:r>
    </w:p>
    <w:p>
      <w:pPr>
        <w:pStyle w:val="Heading2"/>
      </w:pPr>
      <w:r>
        <w:t>5. Отказ в оплате</w:t>
      </w:r>
    </w:p>
    <w:p>
      <w:r>
        <w:t>5.1. В оплате может быть отказано при отсутствии в заявке договора или счёта либо при отсутствии согласования, предусмотренного разделом 3.</w:t>
      </w:r>
    </w:p>
    <w:p>
      <w:r>
        <w:t>5.2. Об отказе в оплате казначей уведомляет инициатора платежа не позднее одного рабочего дня.</w:t>
      </w:r>
    </w:p>
    <w:p>
      <w:pPr>
        <w:pStyle w:val="Heading2"/>
      </w:pPr>
      <w:r>
        <w:t>6. Ответственность</w:t>
      </w:r>
    </w:p>
    <w:p>
      <w:r>
        <w:t>6.1. Ответственность за своевременность и полноту заявки на оплату несёт инициатор платежа.</w:t>
      </w:r>
    </w:p>
    <w:p>
      <w:r>
        <w:t>6.2. Ответственность за соблюдение лимитов согласования, установленных разделом 3, несёт казначей.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