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02.02.2026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01.03.2026</w:t>
      </w:r>
    </w:p>
    <w:p>
      <w:r>
        <w:rPr>
          <w:i/>
        </w:rPr>
        <w:t>Взамен: FIN-REGL-002-r1</w:t>
      </w:r>
    </w:p>
    <w:p>
      <w:pPr>
        <w:pStyle w:val="Title"/>
      </w:pPr>
      <w:r>
        <w:t>Регламент согласования платежей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согласования и исполнения платежей ГК «Родос-Деталь» с расчётных счетов площадок Ковров, Пермь и Тольятти.</w:t>
      </w:r>
    </w:p>
    <w:p>
      <w:r>
        <w:t>1.2. Регламент обязателен для казначея, главного бухгалтера, финансового директора, генерального директора и всех инициаторов платежей.</w:t>
      </w:r>
    </w:p>
    <w:p>
      <w:r>
        <w:t>1.3. Регламент не распространяется на выдачу денежных средств под отчёт, которая регулируется Положением о расчётах с подотчётными лицами (FIN-POL-PODOTCHET), и на выплату заработной платы, которая регулируется Положением об оплате труда и премировании (FIN-POL-OPLTRUDA).</w:t>
      </w:r>
    </w:p>
    <w:p>
      <w:r>
        <w:t>1.4. Платежи производятся с расчётных счетов юридических лиц, на которых зарегистрированы площадки: ООО «Родос-Деталь» (Ковровская и Пермская площадки) и ООО «Родос-Деталь-Сборка» (Тольяттинская площадка). Порядок согласования, установленный настоящим регламентом, одинаков для обоих юридических лиц.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ЦФО — центр финансовой ответственности.</w:t>
      </w:r>
    </w:p>
    <w:p>
      <w:pPr>
        <w:pStyle w:val="ListBullet"/>
      </w:pPr>
      <w:r>
        <w:t>Реестр платежей — перечень платежей, согласованных к исполнению в течение операционного дня.</w:t>
      </w:r>
    </w:p>
    <w:p>
      <w:pPr>
        <w:pStyle w:val="ListBullet"/>
      </w:pPr>
      <w:r>
        <w:t>Инициатор платежа — работник, оформивший заявку на оплату по своему ЦФО.</w:t>
      </w:r>
    </w:p>
    <w:p>
      <w:pPr>
        <w:pStyle w:val="Heading2"/>
      </w:pPr>
      <w:r>
        <w:t>3. Порядок подачи заявки на оплату</w:t>
      </w:r>
    </w:p>
    <w:p>
      <w:r>
        <w:t>3.1. Инициатор платежа подаёт заявку на оплату казначею не позднее трёх рабочих дней до срока оплаты, указанного в счёте или договоре.</w:t>
      </w:r>
    </w:p>
    <w:p>
      <w:r>
        <w:t>3.2. Заявка на оплату содержит: наименование и ИНН контрагента, номер и дату договора или счёта, сумму платежа, код ЦФО, назначение платежа и запрашиваемую дату исполнения.</w:t>
      </w:r>
    </w:p>
    <w:p>
      <w:r>
        <w:t>3.3. Заявка на оплату без реквизитов договора или счёта, указанных в пункте 3.2, к рассмотрению не принимается и возвращается инициатору в день поступления.</w:t>
      </w:r>
    </w:p>
    <w:p>
      <w:r>
        <w:t>3.4. Казначей проверяет соответствие суммы заявки остатку бюджета ЦФО по данным план-факта и при превышении лимита сообщает об этом инициатору и финансовому директору.</w:t>
      </w:r>
    </w:p>
    <w:p>
      <w:r>
        <w:t>3.5. Заявка на оплату оформляется в 1С:ERP с приложением скан-копии счёта или акта и, если платёж производится по договору, реквизитов договора. Заявка, поданная без приложений, к согласованию не принимается.</w:t>
      </w:r>
    </w:p>
    <w:p>
      <w:pPr>
        <w:pStyle w:val="Heading2"/>
      </w:pPr>
      <w:r>
        <w:t>4. Лимиты согласования платежей</w:t>
      </w:r>
    </w:p>
    <w:p>
      <w:r>
        <w:t>4.1. Платежи согласуются по уровням в зависимости от суммы платежа без учёта НДС: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Сумма платежа, ₽</w:t>
            </w:r>
          </w:p>
        </w:tc>
        <w:tc>
          <w:tcPr>
            <w:tcW w:type="dxa" w:w="4320"/>
          </w:tcPr>
          <w:p>
            <w:r>
              <w:t>Согласующий</w:t>
            </w:r>
          </w:p>
        </w:tc>
      </w:tr>
      <w:tr>
        <w:tc>
          <w:tcPr>
            <w:tcW w:type="dxa" w:w="4320"/>
          </w:tcPr>
          <w:p>
            <w:r>
              <w:t>до 300 000 включительно</w:t>
            </w:r>
          </w:p>
        </w:tc>
        <w:tc>
          <w:tcPr>
            <w:tcW w:type="dxa" w:w="4320"/>
          </w:tcPr>
          <w:p>
            <w:r>
              <w:t>казначей</w:t>
            </w:r>
          </w:p>
        </w:tc>
      </w:tr>
      <w:tr>
        <w:tc>
          <w:tcPr>
            <w:tcW w:type="dxa" w:w="4320"/>
          </w:tcPr>
          <w:p>
            <w:r>
              <w:t>от 300 000,01 до 1 000 000 включительно</w:t>
            </w:r>
          </w:p>
        </w:tc>
        <w:tc>
          <w:tcPr>
            <w:tcW w:type="dxa" w:w="4320"/>
          </w:tcPr>
          <w:p>
            <w:r>
              <w:t>главный бухгалтер</w:t>
            </w:r>
          </w:p>
        </w:tc>
      </w:tr>
      <w:tr>
        <w:tc>
          <w:tcPr>
            <w:tcW w:type="dxa" w:w="4320"/>
          </w:tcPr>
          <w:p>
            <w:r>
              <w:t>от 1 000 000,01 до 5 000 000 включительно</w:t>
            </w:r>
          </w:p>
        </w:tc>
        <w:tc>
          <w:tcPr>
            <w:tcW w:type="dxa" w:w="4320"/>
          </w:tcPr>
          <w:p>
            <w:r>
              <w:t>финансовый директор</w:t>
            </w:r>
          </w:p>
        </w:tc>
      </w:tr>
      <w:tr>
        <w:tc>
          <w:tcPr>
            <w:tcW w:type="dxa" w:w="4320"/>
          </w:tcPr>
          <w:p>
            <w:r>
              <w:t>свыше 5 000 000</w:t>
            </w:r>
          </w:p>
        </w:tc>
        <w:tc>
          <w:tcPr>
            <w:tcW w:type="dxa" w:w="4320"/>
          </w:tcPr>
          <w:p>
            <w:r>
              <w:t>генеральный директор</w:t>
            </w:r>
          </w:p>
        </w:tc>
      </w:tr>
    </w:tbl>
    <w:p>
      <w:r>
        <w:t>4.2. Согласование каждого следующего уровня не отменяет необходимости согласования всех предыдущих уровней: платёж свыше 5 000 000 ₽ согласуется казначеем, главным бухгалтером, финансовым директором и генеральным директором последовательно.</w:t>
      </w:r>
    </w:p>
    <w:p>
      <w:r>
        <w:t>4.3. Казначей формирует реестр платежей на день и исполняет платежи, получившие согласование в соответствии с пунктом 4.1.</w:t>
      </w:r>
    </w:p>
    <w:p>
      <w:r>
        <w:t>4.4. Настоящая трёхуровневая шкала согласования введена взамен двухуровневой, действовавшей по Регламенту согласования платежей, ред. 1 (FIN-REGL-002-r1), который утратил силу с 01.03.2026.</w:t>
      </w:r>
    </w:p>
    <w:p>
      <w:r>
        <w:t>4.5. Уровень согласования определяется по общей сумме платежа по одному счёту или договору, даже если оплата производится несколькими платежами. Дробление платежа с целью снижения уровня согласования не допускается.</w:t>
      </w:r>
    </w:p>
    <w:p>
      <w:pPr>
        <w:pStyle w:val="Heading2"/>
      </w:pPr>
      <w:r>
        <w:t>5. Реестр платежей на день</w:t>
      </w:r>
    </w:p>
    <w:p>
      <w:r>
        <w:t>5.1. Казначей формирует реестр платежей на очередной рабочий день не позднее 16:00 предшествующего рабочего дня. Реестр оформляется отдельным документом с номером по схеме REESTR-PLAT-{дата в формате ГГГГММДД}, например REESTR-PLAT-20260908.</w:t>
      </w:r>
    </w:p>
    <w:p>
      <w:r>
        <w:t>5.2. В реестр включаются только заявки, согласованные в соответствии с разделом 4.</w:t>
      </w:r>
    </w:p>
    <w:p>
      <w:r>
        <w:t>5.3. Реестр платежей утверждает казначей. Платежи, требующие согласования финансового директора или генерального директора по пункту 4.1, включаются в реестр только после получения такого согласования.</w:t>
      </w:r>
    </w:p>
    <w:p>
      <w:r>
        <w:t>5.4. Исполненный реестр хранится в бухгалтерии вместе с подтверждающими документами не менее пяти лет.</w:t>
      </w:r>
    </w:p>
    <w:p>
      <w:pPr>
        <w:pStyle w:val="Heading2"/>
      </w:pPr>
      <w:r>
        <w:t>6. Срочные платежи</w:t>
      </w:r>
    </w:p>
    <w:p>
      <w:r>
        <w:t>6.1. Срочным признаётся платёж, заявка на который подана позднее срока, установленного пунктом 3.1, либо платёж, оплата которого просрочена.</w:t>
      </w:r>
    </w:p>
    <w:p>
      <w:r>
        <w:t>6.2. Срочный платёж согласует финансовый директор независимо от суммы платежа, а при сумме свыше 5 000 000 ₽ — дополнительно генеральный директор.</w:t>
      </w:r>
    </w:p>
    <w:p>
      <w:r>
        <w:t>6.3. Основанием для срочного платежа служит служебная записка инициатора с указанием причины нарушения срока подачи заявки, установленного пунктом 3.1.</w:t>
      </w:r>
    </w:p>
    <w:p>
      <w:pPr>
        <w:pStyle w:val="Heading2"/>
      </w:pPr>
      <w:r>
        <w:t>7. Платежи в адрес новых контрагентов</w:t>
      </w:r>
    </w:p>
    <w:p>
      <w:r>
        <w:t>7.1. Платёж в адрес контрагента, отсутствующего в Реестре контрагентов (REESTR-KA-2026), допускается только после прохождения проверки должной осмотрительности в порядке, установленном Регламентом проверки контрагентов и должной осмотрительности (FIN-REGL-DOLZHOSM).</w:t>
      </w:r>
    </w:p>
    <w:p>
      <w:r>
        <w:t>7.2. Инициатор платежа в адрес нового контрагента прикладывает к заявке результат проверки и реквизиты договора.</w:t>
      </w:r>
    </w:p>
    <w:p>
      <w:r>
        <w:t>7.3. До завершения проверки должной осмотрительности платёж в адрес нового контрагента не включается в реестр платежей ни при каком уровне согласования по разделу 4.</w:t>
      </w:r>
    </w:p>
    <w:p>
      <w:pPr>
        <w:pStyle w:val="Heading2"/>
      </w:pPr>
      <w:r>
        <w:t>8. Отказ в оплате</w:t>
      </w:r>
    </w:p>
    <w:p>
      <w:r>
        <w:t>8.1. В оплате отказывается при: отсутствии договора или счёта, превышении бюджета ЦФО без согласования финансового директора, отсутствии проверки нового контрагента по разделу 7, отсутствии согласования, предусмотренного разделом 4.</w:t>
      </w:r>
    </w:p>
    <w:p>
      <w:r>
        <w:t>8.2. Об отказе в оплате казначей письменно уведомляет инициатора платежа не позднее одного рабочего дня с указанием причины отказа.</w:t>
      </w:r>
    </w:p>
    <w:p>
      <w:r>
        <w:t>8.3. Инициатор платежа вправе повторно подать заявку после устранения причины отказа.</w:t>
      </w:r>
    </w:p>
    <w:p>
      <w:pPr>
        <w:pStyle w:val="Heading2"/>
      </w:pPr>
      <w:r>
        <w:t>9. Форма и валюта платежа</w:t>
      </w:r>
    </w:p>
    <w:p>
      <w:r>
        <w:t>9.1. Платежи производятся только в безналичной форме банковским переводом с расчётного счёта, указанного в пункте 1.4. Наличные расчёты по платежам, регулируемым настоящим регламентом, не допускаются.</w:t>
      </w:r>
    </w:p>
    <w:p>
      <w:r>
        <w:t>9.2. Платежи в пользу российских контрагентов производятся в рублях. Платежи по экспортным договорам, предусматривающим расчёты в иностранной валюте (например, KMP-2025/02), производятся в валюте, установленной договором, через уполномоченный банк с соблюдением требований валютного контроля.</w:t>
      </w:r>
    </w:p>
    <w:p>
      <w:r>
        <w:t>9.3. В назначении платежа указывается номер счёта или договора, а также код ЦФО, к которому относится платёж, для целей план-факта по FIN-POL-BUDGET.</w:t>
      </w:r>
    </w:p>
    <w:p>
      <w:pPr>
        <w:pStyle w:val="Heading2"/>
      </w:pPr>
      <w:r>
        <w:t>10. Ответственность</w:t>
      </w:r>
    </w:p>
    <w:p>
      <w:r>
        <w:t>10.1. Ответственность за своевременность и полноту заявки на оплату несёт инициатор платежа.</w:t>
      </w:r>
    </w:p>
    <w:p>
      <w:r>
        <w:t>10.2. Ответственность за соблюдение лимитов согласования, установленных разделом 4, несёт казначей.</w:t>
      </w:r>
    </w:p>
    <w:p>
      <w:r>
        <w:t>10.3. Ответственность за достоверность данных об остатке бюджета ЦФО несёт главный бухгалтер.</w:t>
      </w:r>
    </w:p>
    <w:p>
      <w:r>
        <w:t>10.4. Ответственность за соблюдение требований валютного контроля по платежам, указанным в пункте 9.2, несёт казначей.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