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УТВЕРЖДАЮ: Генеральный директор</w:t>
      </w:r>
    </w:p>
    <w:p>
      <w:r>
        <w:rPr>
          <w:i/>
        </w:rPr>
        <w:t>Дата утверждения: 29.12.2025</w:t>
      </w:r>
    </w:p>
    <w:p>
      <w:r>
        <w:rPr>
          <w:i/>
        </w:rPr>
        <w:t>Для служебного пользования</w:t>
      </w:r>
    </w:p>
    <w:p>
      <w:pPr>
        <w:pStyle w:val="Title"/>
      </w:pPr>
      <w:r>
        <w:t>Учётная политика для целей бухгалтерского учёта на 2026 год</w:t>
      </w:r>
    </w:p>
    <w:p>
      <w:pPr>
        <w:pStyle w:val="Heading2"/>
      </w:pPr>
      <w:r>
        <w:t>1. Общие положения</w:t>
      </w:r>
    </w:p>
    <w:p>
      <w:r>
        <w:t>1.1. Настоящая учётная политика разработана в соответствии с Федеральным законом от 06.12.2011 № 402-ФЗ «О бухгалтерском учёте», Положением по ведению бухгалтерского учёта и бухгалтерской отчётности в Российской Федерации, действующими федеральными стандартами бухгалтерского учёта (ФСБУ) и устанавливает единые правила ведения бухгалтерского учёта в ГК «Родос-Деталь» на 2026 год.</w:t>
      </w:r>
    </w:p>
    <w:p>
      <w:r>
        <w:t>1.2. Учётная политика обязательна для применения бухгалтерией, финансовой службой и всеми подразделениями предприятия в части оформления первичных учётных документов.</w:t>
      </w:r>
    </w:p>
    <w:p>
      <w:r>
        <w:t>1.3. Учётная политика применяется последовательно из года в год. Изменение учётной политики в течение 2026 года допускается только в случаях, установленных законодательством о бухгалтерском учёте, и оформляется приказом генерального директора.</w:t>
      </w:r>
    </w:p>
    <w:p>
      <w:r>
        <w:t>1.4. Учётная политика едина для всех трёх площадок ГК «Родос-Деталь» — Ковровской, Пермской и Тольяттинской, — включая обособленные балансы юридических лиц, на которых зарегистрированы площадки.</w:t>
      </w:r>
    </w:p>
    <w:p>
      <w:pPr>
        <w:pStyle w:val="Heading2"/>
      </w:pPr>
      <w:r>
        <w:t>2. Организация бухгалтерского учёта</w:t>
      </w:r>
    </w:p>
    <w:p>
      <w:r>
        <w:t>2.1. Ведение бухгалтерского учёта возложено на бухгалтерию во главе с главным бухгалтером. Главный бухгалтер подчиняется непосредственно генеральному директору и обеспечивает соответствие хозяйственных операций законодательству, контроль движения имущества и исполнения обязательств.</w:t>
      </w:r>
    </w:p>
    <w:p>
      <w:r>
        <w:t>2.2. Бухгалтерский учёт ведётся в электронном виде в системе 1С:ERP с применением рабочего плана счетов, утверждённого разделом 3 настоящей учётной политики.</w:t>
      </w:r>
    </w:p>
    <w:p>
      <w:r>
        <w:t>2.3. Первичные учётные документы составляются по формам, содержащимся в альбомах унифицированных форм первичной учётной документации, а при отсутствии таких форм — по формам, разработанным предприятием самостоятельно и содержащим обязательные реквизиты, установленные статьёй 9 Федерального закона № 402-ФЗ.</w:t>
      </w:r>
    </w:p>
    <w:p>
      <w:r>
        <w:t>2.4. Порядок и сроки передачи первичных документов в бухгалтерию структурными подразделениями установлены Графиком документооборота на 2026 год (GRAFIK-DO-2026), являющимся приложением к настоящей учётной политике.</w:t>
      </w:r>
    </w:p>
    <w:p>
      <w:r>
        <w:t>2.5. Регистры бухгалтерского учёта формируются автоматизированным способом в 1С:ERP помесячно и хранятся в электронном виде не менее пяти лет.</w:t>
      </w:r>
    </w:p>
    <w:p>
      <w:r>
        <w:t>2.6. Бухгалтерская (финансовая) отчётность формируется ежегодно по итогам календарного года, а для целей управленческого учёта — ежемесячно по данным план-факта по центрам финансовой ответственности (ЦФО).</w:t>
      </w:r>
    </w:p>
    <w:p>
      <w:pPr>
        <w:pStyle w:val="Heading2"/>
      </w:pPr>
      <w:r>
        <w:t>3. Рабочий план счетов</w:t>
      </w:r>
    </w:p>
    <w:p>
      <w:r>
        <w:t>3.1. Бухгалтерский учёт ведётся с применением рабочего плана счетов, сформированного на основании Плана счетов бухгалтерского учёта финансово-хозяйственной деятельности организаций, утверждённого Министерством финансов Российской Федерации.</w:t>
      </w:r>
    </w:p>
    <w:p>
      <w:r>
        <w:t>3.2. Затраты на производство учитываются на счёте 20 «Основное производство» с открытием аналитики по ЦФО производственных цехов (ЦФО-101 — ЦФО-106) и по номенклатурным позициям.</w:t>
      </w:r>
    </w:p>
    <w:p>
      <w:r>
        <w:t>3.3. Общепроизводственные расходы учитываются на счёте 25 «Общепроизводственные расходы» с аналитикой по цеху, общехозяйственные расходы — на счёте 26 «Общехозяйственные расходы» с аналитикой по ЦФО административных и обслуживающих подразделений (ЦФО-201 — ЦФО-208).</w:t>
      </w:r>
    </w:p>
    <w:p>
      <w:r>
        <w:t>3.4. Расчёты с покупателями и заказчиками учитываются на счёте 62, расчёты с поставщиками и подрядчиками — на счёте 60, с аналитическим учётом по каждому контрагенту и договору.</w:t>
      </w:r>
    </w:p>
    <w:p>
      <w:r>
        <w:t>3.5. Расчёты с подотчётными лицами учитываются на счёте 71 в порядке, установленном Положением о расчётах с подотчётными лицами (FIN-POL-PODOTCHET).</w:t>
      </w:r>
    </w:p>
    <w:p>
      <w:r>
        <w:t>3.6. Перечень применяемых субсчетов и аналитических признаков рабочего плана счетов ведётся и актуализируется главным бухгалтером; изменения вводятся в действие с первого числа месяца, следующего за месяцем утверждения.</w:t>
      </w:r>
    </w:p>
    <w:p>
      <w:pPr>
        <w:pStyle w:val="Heading2"/>
      </w:pPr>
      <w:r>
        <w:t>4. Учёт основных средств</w:t>
      </w:r>
    </w:p>
    <w:p>
      <w:r>
        <w:t>4.1. Активом, учитываемым в качестве основного средства, признаётся материальный объект, предназначенный для использования в производстве продукции, выполнении работ или оказании услуг либо для управленческих нужд предприятия в течение периода более 12 месяцев.</w:t>
      </w:r>
    </w:p>
    <w:p>
      <w:r>
        <w:t>4.1.1. Основное средство принимается к учёту по первоначальной стоимости, которая включает сумму фактических затрат на приобретение, сооружение или изготовление объекта, за исключением возмещаемых налогов, а также затраты на доставку и приведение объекта в состояние, пригодное для использования.</w:t>
      </w:r>
    </w:p>
    <w:p>
      <w:r>
        <w:t>4.1.2. Единицей учёта основных средств является инвентарный объект. Каждому объекту основных средств присваивается инвентарный номер по схеме ОС-{nnnn} и оформляется паспорт объекта в порядке, установленном службой главного механика.</w:t>
      </w:r>
    </w:p>
    <w:p>
      <w:r>
        <w:t>4.2. Порядок отнесения объектов к основным средствам, начисления амортизации и определения сроков полезного использования устанавливается настоящим пунктом.</w:t>
      </w:r>
    </w:p>
    <w:p>
      <w:r>
        <w:t>4.2.1. Отнесение объекта к основным средствам либо к материально-производственным запасам, определение амортизационной группы объекта и первичное определение срока полезного использования производятся комиссией по приёмке основных средств при вводе объекта в эксплуатацию.</w:t>
      </w:r>
    </w:p>
    <w:p>
      <w:r>
        <w:t>4.2.2. Комиссия, указанная в пункте 4.2.1, действует на основании технической документации изготовителя объекта и Классификации основных средств, включаемых в амортизационные группы, применяемой для целей налогового учёта.</w:t>
      </w:r>
    </w:p>
    <w:p>
      <w:r>
        <w:t>4.2.3. Стоимостный лимит для принятия объекта к бухгалтерскому учёту в составе основных средств составляет 100 000 (сто тысяч) рублей за единицу: объекты, отвечающие признакам, указанным в пункте 4.1, но имеющие первоначальную стоимость 100 000 рублей и менее, учитываются в составе материально-производственных запасов и списываются на расходы текущего периода в момент передачи в эксплуатацию, с отражением на забалансовом учёте до фактического выбытия. Амортизация по объектам основных средств начисляется линейным способом исходя из первоначальной стоимости объекта и срока полезного использования, определённого при принятии объекта к учёту.</w:t>
      </w:r>
    </w:p>
    <w:p>
      <w:r>
        <w:t>4.2.4. Для целей настоящей учётной политики установлены следующие диапазоны сроков полезного использования по группам объектов: металлообрабатывающее оборудование (токарные, фрезерные, шлифовальные станки) — от 7 до 10 лет; термическое и гальваническое оборудование — от 10 до 15 лет; подъёмно-транспортное и вспомогательное оборудование — от 5 до 7 лет; здания и сооружения — свыше 20 лет; оргтехника и вычислительная техника — от 3 до 5 лет; транспортные средства — от 5 до 7 лет.</w:t>
      </w:r>
    </w:p>
    <w:p>
      <w:r>
        <w:t>4.2.5. Начисление амортизации начинается с первого числа месяца, следующего за месяцем принятия объекта к бухгалтерскому учёту, и прекращается с первого числа месяца, следующего за месяцем полного погашения стоимости объекта либо его списания с учёта.</w:t>
      </w:r>
    </w:p>
    <w:p>
      <w:r>
        <w:t>4.3. Основное средство списывается с бухгалтерского учёта при выбытии, в том числе при продаже, ликвидации ввиду износа, передаче в виде вклада в уставный капитал другой организации, а также при утрате объектом способности приносить экономические выгоды.</w:t>
      </w:r>
    </w:p>
    <w:p>
      <w:r>
        <w:t>4.3.1. Решение о списании основного средства принимает главный механик совместно с главным бухгалтером на основании заключения о техническом состоянии объекта; списание оформляется актом о списании основного средства.</w:t>
      </w:r>
    </w:p>
    <w:p>
      <w:r>
        <w:t>4.3.2. Финансовый результат от выбытия основного средства отражается в бухгалтерском учёте в том отчётном периоде, к которому он относится.</w:t>
      </w:r>
    </w:p>
    <w:p>
      <w:pPr>
        <w:pStyle w:val="Heading2"/>
      </w:pPr>
      <w:r>
        <w:t>5. Материально-производственные запасы</w:t>
      </w:r>
    </w:p>
    <w:p>
      <w:r>
        <w:t>5.1. К материально-производственным запасам (МПЗ) относятся сырьё и материалы, покупные полуфабрикаты и комплектующие, топливо, тара, запасные части, инструмент и хозяйственный инвентарь со сроком службы менее 12 месяцев.</w:t>
      </w:r>
    </w:p>
    <w:p>
      <w:r>
        <w:t>5.2. МПЗ принимаются к учёту по фактической себестоимости, включающей договорную стоимость поставщика, транспортно-заготовительные расходы и иные затраты, непосредственно связанные с приобретением, за исключением возмещаемых налогов.</w:t>
      </w:r>
    </w:p>
    <w:p>
      <w:r>
        <w:t>5.3. Списание материально-производственных запасов в производство и при ином выбытии производится по способу оценки по средней себестоимости, определяемой по каждой группе (виду) запасов как частное от деления общей себестоимости группы запасов на их количество, складывающихся соответственно из себестоимости и количества остатка на начало месяца и поступивших запасов в течение месяца.</w:t>
      </w:r>
    </w:p>
    <w:p>
      <w:r>
        <w:t>5.4. Нормы расхода материалов и инструмента на единицу продукции, применяемые при списании в производство, устанавливаются Нормативами списания материалов и инструмента (NORM-SPIS-2026), пересматриваемыми не реже одного раза в год.</w:t>
      </w:r>
    </w:p>
    <w:p>
      <w:r>
        <w:t>5.5. Специальная оснастка и специальный инструмент, независимо от стоимости, учитываются в составе оборотных активов и погашают свою стоимость линейным способом в течение срока полезного использования, установленного технологической документацией, либо списываются единовременно при передаче в эксплуатацию, если срок полезного использования не превышает 12 месяцев.</w:t>
      </w:r>
    </w:p>
    <w:p>
      <w:pPr>
        <w:pStyle w:val="Heading2"/>
      </w:pPr>
      <w:r>
        <w:t>6. Незавершённое производство</w:t>
      </w:r>
    </w:p>
    <w:p>
      <w:r>
        <w:t>6.1. К незавершённому производству относятся детали и узлы, прошедшие часть операций технологического маршрута и не принятые отделом технического контроля как готовая продукция или полуфабрикат, предназначенный для реализации.</w:t>
      </w:r>
    </w:p>
    <w:p>
      <w:r>
        <w:t>6.2. Остатки незавершённого производства на конец месяца оцениваются по фактическим прямым затратам (материалы и заработная плата основных производственных рабочих с начислениями) без включения общепроизводственных и общехозяйственных расходов.</w:t>
      </w:r>
    </w:p>
    <w:p>
      <w:r>
        <w:t>6.3. Инвентаризация незавершённого производства проводится ежемесячно комиссией под руководством начальника цеха с участием представителя бухгалтерии, результаты оформляются описью остатков незавершённого производства.</w:t>
      </w:r>
    </w:p>
    <w:p>
      <w:pPr>
        <w:pStyle w:val="Heading2"/>
      </w:pPr>
      <w:r>
        <w:t>7. Учёт готовой продукции</w:t>
      </w:r>
    </w:p>
    <w:p>
      <w:r>
        <w:t>7.1. Готовой продукцией признаются детали, узлы и изделия, прошедшие все операции технологического маршрута, принятые отделом технического контроля и оформленные соответствующим документом о приёмке.</w:t>
      </w:r>
    </w:p>
    <w:p>
      <w:r>
        <w:t>7.2. Готовая продукция принимается к учёту по фактической производственной себестоимости, определяемой в порядке, установленном Методикой расчёта себестоимости продукции (FIN-MET-SEBEST).</w:t>
      </w:r>
    </w:p>
    <w:p>
      <w:r>
        <w:t>7.3. Учёт готовой продукции ведётся на складе готовой продукции Тольяттинской площадки количественно- суммовым методом с аналитикой по номенклатурным позициям и партиям.</w:t>
      </w:r>
    </w:p>
    <w:p>
      <w:r>
        <w:t>7.4. Готовая продукция, отгруженная покупателю, но право собственности на которую не перешло к покупателю на отчётную дату, учитывается обособленно как товары отгруженные.</w:t>
      </w:r>
    </w:p>
    <w:p>
      <w:pPr>
        <w:pStyle w:val="Heading2"/>
      </w:pPr>
      <w:r>
        <w:t>8. Признание выручки</w:t>
      </w:r>
    </w:p>
    <w:p>
      <w:r>
        <w:t>8.1. Выручка от продажи продукции признаётся в бухгалтерском учёте при одновременном соблюдении условий: право собственности на продукцию перешло к покупателю, сумма выручки может быть определена, имеется уверенность в получении оплаты.</w:t>
      </w:r>
    </w:p>
    <w:p>
      <w:r>
        <w:t>8.2. Момент перехода права собственности определяется условиями договора поставки; при отсутствии специального условия в договоре право собственности переходит в момент передачи продукции покупателю либо перевозчику, о чём составляется универсальный передаточный документ (УПД).</w:t>
      </w:r>
    </w:p>
    <w:p>
      <w:r>
        <w:t>8.3. Выручка признаётся в сумме, установленной договором, без учёта налога на добавленную стоимость и без учёта скидок, предоставленных дилерам в соответствии с матрицей скидок прайс-листа.</w:t>
      </w:r>
    </w:p>
    <w:p>
      <w:r>
        <w:t>8.4. По экспортным поставкам выручка признаётся на дату перехода права собственности, определённую применимым базисом поставки Инкотермс, указанным в договоре.</w:t>
      </w:r>
    </w:p>
    <w:p>
      <w:pPr>
        <w:pStyle w:val="Heading2"/>
      </w:pPr>
      <w:r>
        <w:t>9. Резервы</w:t>
      </w:r>
    </w:p>
    <w:p>
      <w:r>
        <w:t>9.1. Предприятие создаёт резерв по сомнительным долгам в отношении дебиторской задолженности покупателей, отнесённой к просроченной задолженности 3-й группы в соответствии с Регламентом работы с дебиторской задолженностью (FIN-REGL-DEBITORKA), при отсутствии обеспечения по такой задолженности.</w:t>
      </w:r>
    </w:p>
    <w:p>
      <w:r>
        <w:t>9.2. Резерв по сомнительным долгам формируется ежеквартально в размере, определяемом главным бухгалтером по результатам анализа платёжеспособности покупателя, и относится на финансовый результат отчётного периода.</w:t>
      </w:r>
    </w:p>
    <w:p>
      <w:r>
        <w:t>9.3. Предприятие создаёт резерв на оплату отпусков работников, формируемый ежемесячно исходя из количества дней неиспользованного отпуска на конец месяца и среднего дневного заработка.</w:t>
      </w:r>
    </w:p>
    <w:p>
      <w:r>
        <w:t>9.4. Резерв под снижение стоимости материально-производственных запасов создаётся при наличии на конец отчётного года остатков МПЗ, текущая рыночная стоимость которых снизилась либо которые морально устарели или частично утратили первоначальные качества.</w:t>
      </w:r>
    </w:p>
    <w:p>
      <w:pPr>
        <w:pStyle w:val="Heading2"/>
      </w:pPr>
      <w:r>
        <w:t>10. Учёт брака</w:t>
      </w:r>
    </w:p>
    <w:p>
      <w:r>
        <w:t>10.1. Брак — продукция, не соответствующая установленным стандартам, техническим условиям или технологической документации, использование которой по прямому назначению невозможно (окончательный брак) либо возможно после исправления (исправимый брак).</w:t>
      </w:r>
    </w:p>
    <w:p>
      <w:r>
        <w:t>10.2. Факт брака оформляется актом о браке, составляемым отделом технического контроля не позднее одного рабочего дня с даты выявления, в соответствии со сроком, установленным Графиком документооборота (GRAFIK-DO-2026).</w:t>
      </w:r>
    </w:p>
    <w:p>
      <w:r>
        <w:t>10.3. Стоимость брака и порядок отнесения затрат на брак на себестоимость продукции либо на виновных лиц определяются Методикой расчёта себестоимости продукции (FIN-MET-SEBEST) и Положением об оплате труда и премировании (FIN-POL-OPLTRUDA).</w:t>
      </w:r>
    </w:p>
    <w:p>
      <w:r>
        <w:t>10.4. Потери от брака сверх норм, предусмотренных Нормативами списания материалов и инструмента (NORM-SPIS-2026), отражаются в составе прочих расходов отчётного периода.</w:t>
      </w:r>
    </w:p>
    <w:p>
      <w:pPr>
        <w:pStyle w:val="Heading2"/>
      </w:pPr>
      <w:r>
        <w:t>11. Инвентаризация</w:t>
      </w:r>
    </w:p>
    <w:p>
      <w:r>
        <w:t>11.1. Инвентаризация имущества и обязательств проводится в целях обеспечения достоверности данных бухгалтерского учёта и отчётности не реже одного раза в год, перед составлением годовой бухгалтерской отчётности, по состоянию на 31 октября отчётного года, с учётом операций, совершённых до конца года.</w:t>
      </w:r>
    </w:p>
    <w:p>
      <w:r>
        <w:t>11.2. Помимо годовой инвентаризации, обязательная инвентаризация проводится: при смене материально ответственного лица, при выявлении фактов хищения или порчи имущества, при реорганизации или ликвидации предприятия, в иных случаях, установленных законодательством.</w:t>
      </w:r>
    </w:p>
    <w:p>
      <w:r>
        <w:t>11.3. Инвентаризация проводится комиссией, состав которой утверждается приказом генерального директора. В состав комиссии включается представитель бухгалтерии и материально ответственное лицо по проверяемому объекту.</w:t>
      </w:r>
    </w:p>
    <w:p>
      <w:r>
        <w:t>11.4. Выявленные при инвентаризации излишки принимаются к учёту по текущей рыночной стоимости с отнесением на финансовый результат, недостачи в пределах норм естественной убыли относятся на расходы, недостачи сверх норм — на виновных лиц, а при отсутствии виновных лиц — на финансовый результат.</w:t>
      </w:r>
    </w:p>
    <w:p>
      <w:pPr>
        <w:pStyle w:val="Heading2"/>
      </w:pPr>
      <w:r>
        <w:t>12. Исправление ошибок</w:t>
      </w:r>
    </w:p>
    <w:p>
      <w:r>
        <w:t>12.1. Ошибка в бухгалтерском учёте — неправильное отражение (неотражение) фактов хозяйственной жизни, выявленное в результате получения новой информации, неприменения или неправильного применения законодательства о бухгалтерском учёте либо настоящей учётной политики.</w:t>
      </w:r>
    </w:p>
    <w:p>
      <w:r>
        <w:t>12.2. Существенной признаётся ошибка, отдельно или в совокупности с другими ошибками за один отчётный период, которая может повлиять на экономические решения пользователей отчётности; уровень существенности определяется как отклонение показателя более чем на 5 %.</w:t>
      </w:r>
    </w:p>
    <w:p>
      <w:r>
        <w:t>12.3. Ошибка отчётного года, выявленная до его окончания, исправляется записями по соответствующим счетам бухгалтерского учёта в месяце выявления ошибки.</w:t>
      </w:r>
    </w:p>
    <w:p>
      <w:r>
        <w:t>12.4. Существенная ошибка предшествующего отчётного года, выявленная после утверждения годовой отчётности, исправляется ретроспективным пересчётом сравнительных показателей отчётности в порядке, установленном законодательством о бухгалтерском учёте.</w:t>
      </w:r>
    </w:p>
    <w:p>
      <w:r>
        <w:t>12.5. Несущественная ошибка предшествующего отчётного года исправляется записями по соответствующим счетам бухгалтерского учёта в текущем отчётном периоде без ретроспективного пересчёта.</w:t>
      </w:r>
    </w:p>
    <w:p>
      <w:pPr>
        <w:pStyle w:val="Heading2"/>
      </w:pPr>
      <w:r>
        <w:t>13. Приложения</w:t>
      </w:r>
    </w:p>
    <w:p>
      <w:r>
        <w:t>13.1. Приложением к настоящей учётной политике является График документооборота на 2026 год (GRAFIK-DO-2026), устанавливающий состав первичных документов, сроки и порядок их передачи в бухгалтерию.</w:t>
      </w:r>
    </w:p>
    <w:p>
      <w:r>
        <w:t>13.2. Рабочий план счетов, указанный в разделе 3, ведётся главным бухгалтером в виде отдельного электронного регистра в системе 1С:ERP и предоставляется по запросу для целей внутреннего и внешнего аудита.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ГК «Родос-Деталь»</dc:creator>
  <cp:keywords/>
  <dc:description>generated by python-docx</dc:description>
  <cp:lastModifiedBy>ГК «Родос-Деталь»</cp:lastModifiedBy>
  <cp:revision>1</cp:revision>
  <dcterms:created xsi:type="dcterms:W3CDTF">2026-09-22T12:00:00Z</dcterms:created>
  <dcterms:modified xsi:type="dcterms:W3CDTF">2026-09-22T12:00:00Z</dcterms:modified>
  <cp:category/>
</cp:coreProperties>
</file>