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бухгалтер</w:t>
      </w:r>
    </w:p>
    <w:p>
      <w:r>
        <w:rPr>
          <w:i/>
        </w:rPr>
        <w:t>Дата утверждения: 19.05.2026</w:t>
      </w:r>
    </w:p>
    <w:p>
      <w:pPr>
        <w:pStyle w:val="Title"/>
      </w:pPr>
      <w:r>
        <w:t>Пояснения по требованию № 00-21/00587 от 08.05.2026 (расхождение в декларации по НДС за 1 квартал 2026 года)</w:t>
      </w:r>
    </w:p>
    <w:p>
      <w:pPr>
        <w:pStyle w:val="Heading2"/>
      </w:pPr>
      <w:r>
        <w:t>1. Основание пояснений</w:t>
      </w:r>
    </w:p>
    <w:p>
      <w:r>
        <w:t>1.1. ООО «Родос-Деталь» (ИНН 005904112233, КПП 005902001) в ответ на требование Межрайонной инспекции ФНС России № 00 по Пермскому краю № 00-21/00587 от 08.05.2026 сообщает следующее.</w:t>
      </w:r>
    </w:p>
    <w:p>
      <w:r>
        <w:t>1.2. Расхождение между суммой налоговой базы, отражённой ООО «Родос-Деталь» по универсальному передаточному документу № УПД-2026-0101 от 16.01.2026, и суммой вычета, заявленного АО «Редмаш», вызвано корректировочным универсальным передаточным документом, оформленным по итогам рассмотрения претензии покупателя к части партии.</w:t>
      </w:r>
    </w:p>
    <w:p>
      <w:pPr>
        <w:pStyle w:val="Heading2"/>
      </w:pPr>
      <w:r>
        <w:t>2. Существо расхождения</w:t>
      </w:r>
    </w:p>
    <w:p>
      <w:r>
        <w:t>2.1. По универсальному передаточному документу № УПД-2026-0101 от 16.01.2026 в адрес АО «Редмаш» отгружено 180 шт. детали «Вал промежуточный редуктора Р-160», черт. 45.67.90 (арт. RD-450790), на сумму 1 728 000,00 ₽ без НДС, НДС 20 % — 345 600,00 ₽, всего с НДС — 2 073 600,00 ₽.</w:t>
      </w:r>
    </w:p>
    <w:p>
      <w:r>
        <w:t>2.2. При входном контроле АО «Редмаш» в 5 шт. деталей из указанной партии выявлены поверхностные дефекты, не соответствующие требованиям приёмки; по результатам рассмотрения претензии ООО «Родос-Деталь» оформило корректировочный универсальный передаточный документ № КУПД-2026-0101-01 от 24.02.2026, уменьшающий количество и стоимость поставки на 5 шт.</w:t>
      </w:r>
    </w:p>
    <w:p>
      <w:r>
        <w:t>2.3. АО «Редмаш» на дату представления первичной декларации по налогу на добавленную стоимость за 1 квартал 2026 года применило вычет исходя из данных корректировочного документа, тогда как в декларации ООО «Родос-Деталь» на дату формирования настоящих пояснений налоговая база временно была отражена без учёта указанной корректировки, что и привело к выявленному расхождению.</w:t>
      </w:r>
    </w:p>
    <w:p>
      <w:pPr>
        <w:pStyle w:val="Heading2"/>
      </w:pPr>
      <w:r>
        <w:t>3. Расчёт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До корректировки</w:t>
            </w:r>
          </w:p>
        </w:tc>
        <w:tc>
          <w:tcPr>
            <w:tcW w:type="dxa" w:w="2160"/>
          </w:tcPr>
          <w:p>
            <w:r>
              <w:t>Корректировка</w:t>
            </w:r>
          </w:p>
        </w:tc>
        <w:tc>
          <w:tcPr>
            <w:tcW w:type="dxa" w:w="2160"/>
          </w:tcPr>
          <w:p>
            <w:r>
              <w:t>После корректировки</w:t>
            </w:r>
          </w:p>
        </w:tc>
      </w:tr>
      <w:tr>
        <w:tc>
          <w:tcPr>
            <w:tcW w:type="dxa" w:w="2160"/>
          </w:tcPr>
          <w:p>
            <w:r>
              <w:t>Количество, шт.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-5</w:t>
            </w:r>
          </w:p>
        </w:tc>
        <w:tc>
          <w:tcPr>
            <w:tcW w:type="dxa" w:w="2160"/>
          </w:tcPr>
          <w:p>
            <w:r>
              <w:t>175</w:t>
            </w:r>
          </w:p>
        </w:tc>
      </w:tr>
      <w:tr>
        <w:tc>
          <w:tcPr>
            <w:tcW w:type="dxa" w:w="2160"/>
          </w:tcPr>
          <w:p>
            <w:r>
              <w:t>Сумма без НДС, ₽</w:t>
            </w:r>
          </w:p>
        </w:tc>
        <w:tc>
          <w:tcPr>
            <w:tcW w:type="dxa" w:w="2160"/>
          </w:tcPr>
          <w:p>
            <w:r>
              <w:t>1728000.00</w:t>
            </w:r>
          </w:p>
        </w:tc>
        <w:tc>
          <w:tcPr>
            <w:tcW w:type="dxa" w:w="2160"/>
          </w:tcPr>
          <w:p>
            <w:r>
              <w:t>-48000.00</w:t>
            </w:r>
          </w:p>
        </w:tc>
        <w:tc>
          <w:tcPr>
            <w:tcW w:type="dxa" w:w="2160"/>
          </w:tcPr>
          <w:p>
            <w:r>
              <w:t>1680000.00</w:t>
            </w:r>
          </w:p>
        </w:tc>
      </w:tr>
      <w:tr>
        <w:tc>
          <w:tcPr>
            <w:tcW w:type="dxa" w:w="2160"/>
          </w:tcPr>
          <w:p>
            <w:r>
              <w:t>НДС 20 %, ₽</w:t>
            </w:r>
          </w:p>
        </w:tc>
        <w:tc>
          <w:tcPr>
            <w:tcW w:type="dxa" w:w="2160"/>
          </w:tcPr>
          <w:p>
            <w:r>
              <w:t>345600.00</w:t>
            </w:r>
          </w:p>
        </w:tc>
        <w:tc>
          <w:tcPr>
            <w:tcW w:type="dxa" w:w="2160"/>
          </w:tcPr>
          <w:p>
            <w:r>
              <w:t>-9600.00</w:t>
            </w:r>
          </w:p>
        </w:tc>
        <w:tc>
          <w:tcPr>
            <w:tcW w:type="dxa" w:w="2160"/>
          </w:tcPr>
          <w:p>
            <w:r>
              <w:t>336000.00</w:t>
            </w:r>
          </w:p>
        </w:tc>
      </w:tr>
      <w:tr>
        <w:tc>
          <w:tcPr>
            <w:tcW w:type="dxa" w:w="2160"/>
          </w:tcPr>
          <w:p>
            <w:r>
              <w:t>Сумма с НДС, ₽</w:t>
            </w:r>
          </w:p>
        </w:tc>
        <w:tc>
          <w:tcPr>
            <w:tcW w:type="dxa" w:w="2160"/>
          </w:tcPr>
          <w:p>
            <w:r>
              <w:t>2073600.00</w:t>
            </w:r>
          </w:p>
        </w:tc>
        <w:tc>
          <w:tcPr>
            <w:tcW w:type="dxa" w:w="2160"/>
          </w:tcPr>
          <w:p>
            <w:r>
              <w:t>-57600.00</w:t>
            </w:r>
          </w:p>
        </w:tc>
        <w:tc>
          <w:tcPr>
            <w:tcW w:type="dxa" w:w="2160"/>
          </w:tcPr>
          <w:p>
            <w:r>
              <w:t>2016000.00</w:t>
            </w:r>
          </w:p>
        </w:tc>
      </w:tr>
    </w:tbl>
    <w:p>
      <w:r>
        <w:t>3.1. Расхождение, выявленное налоговым органом, соответствует сумме корректировки — 57 600,00 ₽ с НДС.</w:t>
      </w:r>
    </w:p>
    <w:p>
      <w:pPr>
        <w:pStyle w:val="Heading2"/>
      </w:pPr>
      <w:r>
        <w:t>4. Заключение</w:t>
      </w:r>
    </w:p>
    <w:p>
      <w:r>
        <w:t>4.1. Расхождение носит технический характер и связано с разницей в дате отражения корректировочного документа в учёте сторон сделки; уточнённая налоговая декларация по налогу на добавленную стоимость за 1 квартал 2026 года с учётом корректировочного документа № КУПД-2026-0101-01 от 24.02.2026 представлена ООО «Родос-Деталь» одновременно с настоящими пояснениями.</w:t>
      </w:r>
    </w:p>
    <w:p>
      <w:r>
        <w:t>4.2. Копия корректировочного универсального передаточного документа № КУПД-2026-0101-01 от 24.02.2026 прилагается к настоящим пояснениям на 1 листе.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