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отдела снабжения</w:t>
      </w:r>
    </w:p>
    <w:p>
      <w:r>
        <w:rPr>
          <w:i/>
        </w:rPr>
        <w:t>Дата утверждения: 15.04.2026</w:t>
      </w:r>
    </w:p>
    <w:p>
      <w:pPr>
        <w:pStyle w:val="Title"/>
      </w:pPr>
      <w:r>
        <w:t>Претензия № 00-45 от 15.04.2026 к ООО «Литейный двор» по договору № ЛД-2024/27</w:t>
      </w:r>
    </w:p>
    <w:p>
      <w:pPr>
        <w:pStyle w:val="Heading2"/>
      </w:pPr>
      <w:r>
        <w:t>1. Основание претензии</w:t>
      </w:r>
    </w:p>
    <w:p>
      <w:r>
        <w:t>1.1. Между ООО «Родос-Деталь» и ООО «Литейный двор» действует договор поставки № ЛД-2024/27 от 12.09.2024 на поставку отливок из чугуна СЧ20, пунктом которого установлен допустимый уровень брака по литью — не более 3 % партии.</w:t>
      </w:r>
    </w:p>
    <w:p>
      <w:r>
        <w:t>1.2. По партии отливок корпуса Р-160 (материал — чугун СЧ20 ГОСТ 1412-85), поставленной по договору № ЛД-2024/27, отделом технического контроля ООО «Родос-Деталь» проведён входной контроль в соответствии с регламентом ОТК-РЕГЛ-003, ред. 3.</w:t>
      </w:r>
    </w:p>
    <w:p>
      <w:r>
        <w:t>1.3. Актом о несоответствии № АКТ-НЕСООТВ-20260409-01 от 09.04.2026 зафиксировано, что из партии объёмом 340 шт. выявлено 21 шт. отливок с несоответствиями (раковины, включения, отклонение геометрии), что составляет 6,2 % партии.</w:t>
      </w:r>
    </w:p>
    <w:p>
      <w:r>
        <w:t>1.4. Выявленный уровень брака превышает допустимый уровень 3 % партии, установленный договором № ЛД-2024/27, и является основанием для предъявления настоящей претензии в соответствии с ОТК-РЕГЛ-003, ред. 3, п. 6.1.</w:t>
      </w:r>
    </w:p>
    <w:p>
      <w:pPr>
        <w:pStyle w:val="Heading2"/>
      </w:pPr>
      <w:r>
        <w:t>2. Требования</w:t>
      </w:r>
    </w:p>
    <w:p>
      <w:r>
        <w:t>2.1. Заменить 21 шт. несоответствующих отливок корпуса Р-160 на годные в течение 15 рабочих дней с даты получения настоящей претензии без дополнительной оплаты со стороны ООО «Родос-Деталь».</w:t>
      </w:r>
    </w:p>
    <w:p>
      <w:r>
        <w:t>2.2. Возместить дополнительные расходы ООО «Родос-Деталь» на проведение сплошного перемера остатка партии и пересортировку в сумме 84 600,00 ₽ в течение 10 рабочих дней с даты получения настоящей претензии.</w:t>
      </w:r>
    </w:p>
    <w:p>
      <w:r>
        <w:t>2.3. Представить письменные объяснения причин превышения допустимого уровня брака и предлагаемые корректирующие меры в течение 10 рабочих дней с даты получения настоящей претензии.</w:t>
      </w:r>
    </w:p>
    <w:p>
      <w:pPr>
        <w:pStyle w:val="Heading2"/>
      </w:pPr>
      <w:r>
        <w:t>3. Приложения</w:t>
      </w:r>
    </w:p>
    <w:p>
      <w:r>
        <w:t>3.1. Копия акта о несоответствии № АКТ-НЕСООТВ-20260409-01 от 09.04.2026 на 2 л.</w:t>
      </w:r>
    </w:p>
    <w:p>
      <w:r>
        <w:t>3.2. Копия универсального передаточного документа на спорную партию на 1 л.</w:t>
      </w:r>
    </w:p>
    <w:p>
      <w:r>
        <w:t>3.3. Ведомость дефектных отливок с указанием вида несоответствия по каждой единице на 1 л.</w:t>
      </w:r>
    </w:p>
    <w:p>
      <w:pPr>
        <w:pStyle w:val="Heading2"/>
      </w:pPr>
      <w:r>
        <w:t>4. Порядок урегулирования</w:t>
      </w:r>
    </w:p>
    <w:p>
      <w:r>
        <w:t>4.1. В случае непредставления ответа на настоящую претензию либо отказа в удовлетворении требований в установленный срок ООО «Родос-Деталь» оставляет за собой право обратиться в суд с требованием о замене товара, возмещении убытков и взыскании неустойки, предусмотренной договором № ЛД-2024/27, а также приостановить приёмку последующих партий до устранения причин несоответствия.</w:t>
      </w:r>
    </w:p>
    <w:p>
      <w:r>
        <w:t>4.2. Настоящая претензия составлена в соответствии с претензионным порядком, установленным договором № ЛД-2024/27, и направлена ООО «Литейный двор» по телекоммуникационным каналам электронного документооборота.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