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Финансовый директор</w:t>
      </w:r>
    </w:p>
    <w:p>
      <w:r>
        <w:rPr>
          <w:i/>
        </w:rPr>
        <w:t>Дата утверждения: 30.06.2026</w:t>
      </w:r>
    </w:p>
    <w:p>
      <w:pPr>
        <w:pStyle w:val="Title"/>
      </w:pPr>
      <w:r>
        <w:t>Претензия № 00-78 от 30.06.2026 к ООО «Ремсервис-Урал» по договору № РСУ-2024/33</w:t>
      </w:r>
    </w:p>
    <w:p>
      <w:pPr>
        <w:pStyle w:val="Heading2"/>
      </w:pPr>
      <w:r>
        <w:t>1. Основание претензии</w:t>
      </w:r>
    </w:p>
    <w:p>
      <w:r>
        <w:t>1.1. Между ООО «Родос-Деталь-Сборка» и ООО «Ремсервис-Урал» действует договор поставки № РСУ-2024/33 от 05.11.2024 на поставку запасных частей на вторичный рынок с условием оплаты — предоплата 100 % стоимости партии до её отгрузки.</w:t>
      </w:r>
    </w:p>
    <w:p>
      <w:r>
        <w:t>1.2. По данным регистра расчётов ООО «Родос-Деталь-Сборка», остаток задолженности ООО «Ремсервис-Урал» на 01.01.2026 составлял 1 455 000,00 ₽ и в течение 1-го полугодия 2026 года не был погашен, а на 30.06.2026 вырос до 3 108 332,09 ₽.</w:t>
      </w:r>
    </w:p>
    <w:p>
      <w:r>
        <w:t>1.3. Указанная задолженность образовалась вследствие систематического нарушения ООО «Ремсервис-Урал» условия о 100-процентной предоплате: партии товара отгружались по универсальным передаточным документам, в том числе по УПД-2026-0105 от 01.03.2026 на сумму 10 004 400,00 ₽, при неполном поступлении предоплаты, что является нарушением пункта договора об условиях оплаты.</w:t>
      </w:r>
    </w:p>
    <w:p>
      <w:r>
        <w:t>1.4. Поскольку договором № РСУ-2024/33 неустойка за просрочку оплаты не установлена, проценты за пользование чужими денежными средствами начисляются в соответствии со статьёй 395 Гражданского кодекса Российской Федерации.</w:t>
      </w:r>
    </w:p>
    <w:p>
      <w:pPr>
        <w:pStyle w:val="Heading2"/>
      </w:pPr>
      <w:r>
        <w:t>2. Расчёт процентов за пользование чужими денежными средствами</w:t>
      </w:r>
    </w:p>
    <w:p>
      <w:r>
        <w:t>2.1. Расчёт произведён по фактическому остатку задолженности на начало каждого месяца 1-го полугодия 2026 года исходя из ключевой ставки Банка России, принятой для расчёта на уровне 16 % годовых.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Период</w:t>
            </w:r>
          </w:p>
        </w:tc>
        <w:tc>
          <w:tcPr>
            <w:tcW w:type="dxa" w:w="1728"/>
          </w:tcPr>
          <w:p>
            <w:r>
              <w:t>Остаток задолженности, ₽</w:t>
            </w:r>
          </w:p>
        </w:tc>
        <w:tc>
          <w:tcPr>
            <w:tcW w:type="dxa" w:w="1728"/>
          </w:tcPr>
          <w:p>
            <w:r>
              <w:t>Дней</w:t>
            </w:r>
          </w:p>
        </w:tc>
        <w:tc>
          <w:tcPr>
            <w:tcW w:type="dxa" w:w="1728"/>
          </w:tcPr>
          <w:p>
            <w:r>
              <w:t>Ставка</w:t>
            </w:r>
          </w:p>
        </w:tc>
        <w:tc>
          <w:tcPr>
            <w:tcW w:type="dxa" w:w="1728"/>
          </w:tcPr>
          <w:p>
            <w:r>
              <w:t>Проценты, ₽</w:t>
            </w:r>
          </w:p>
        </w:tc>
      </w:tr>
      <w:tr>
        <w:tc>
          <w:tcPr>
            <w:tcW w:type="dxa" w:w="1728"/>
          </w:tcPr>
          <w:p>
            <w:r>
              <w:t>01.01.2026–31.01.2026</w:t>
            </w:r>
          </w:p>
        </w:tc>
        <w:tc>
          <w:tcPr>
            <w:tcW w:type="dxa" w:w="1728"/>
          </w:tcPr>
          <w:p>
            <w:r>
              <w:t>1455000.00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16 %</w:t>
            </w:r>
          </w:p>
        </w:tc>
        <w:tc>
          <w:tcPr>
            <w:tcW w:type="dxa" w:w="1728"/>
          </w:tcPr>
          <w:p>
            <w:r>
              <w:t>19772.05</w:t>
            </w:r>
          </w:p>
        </w:tc>
      </w:tr>
      <w:tr>
        <w:tc>
          <w:tcPr>
            <w:tcW w:type="dxa" w:w="1728"/>
          </w:tcPr>
          <w:p>
            <w:r>
              <w:t>01.02.2026–28.02.2026</w:t>
            </w:r>
          </w:p>
        </w:tc>
        <w:tc>
          <w:tcPr>
            <w:tcW w:type="dxa" w:w="1728"/>
          </w:tcPr>
          <w:p>
            <w:r>
              <w:t>2638118.49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16 %</w:t>
            </w:r>
          </w:p>
        </w:tc>
        <w:tc>
          <w:tcPr>
            <w:tcW w:type="dxa" w:w="1728"/>
          </w:tcPr>
          <w:p>
            <w:r>
              <w:t>32380.19</w:t>
            </w:r>
          </w:p>
        </w:tc>
      </w:tr>
      <w:tr>
        <w:tc>
          <w:tcPr>
            <w:tcW w:type="dxa" w:w="1728"/>
          </w:tcPr>
          <w:p>
            <w:r>
              <w:t>01.03.2026–31.03.2026</w:t>
            </w:r>
          </w:p>
        </w:tc>
        <w:tc>
          <w:tcPr>
            <w:tcW w:type="dxa" w:w="1728"/>
          </w:tcPr>
          <w:p>
            <w:r>
              <w:t>2613117.74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16 %</w:t>
            </w:r>
          </w:p>
        </w:tc>
        <w:tc>
          <w:tcPr>
            <w:tcW w:type="dxa" w:w="1728"/>
          </w:tcPr>
          <w:p>
            <w:r>
              <w:t>35509.76</w:t>
            </w:r>
          </w:p>
        </w:tc>
      </w:tr>
      <w:tr>
        <w:tc>
          <w:tcPr>
            <w:tcW w:type="dxa" w:w="1728"/>
          </w:tcPr>
          <w:p>
            <w:r>
              <w:t>01.04.2026–30.04.2026</w:t>
            </w:r>
          </w:p>
        </w:tc>
        <w:tc>
          <w:tcPr>
            <w:tcW w:type="dxa" w:w="1728"/>
          </w:tcPr>
          <w:p>
            <w:r>
              <w:t>2629176.91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16 %</w:t>
            </w:r>
          </w:p>
        </w:tc>
        <w:tc>
          <w:tcPr>
            <w:tcW w:type="dxa" w:w="1728"/>
          </w:tcPr>
          <w:p>
            <w:r>
              <w:t>34575.48</w:t>
            </w:r>
          </w:p>
        </w:tc>
      </w:tr>
      <w:tr>
        <w:tc>
          <w:tcPr>
            <w:tcW w:type="dxa" w:w="1728"/>
          </w:tcPr>
          <w:p>
            <w:r>
              <w:t>01.05.2026–31.05.2026</w:t>
            </w:r>
          </w:p>
        </w:tc>
        <w:tc>
          <w:tcPr>
            <w:tcW w:type="dxa" w:w="1728"/>
          </w:tcPr>
          <w:p>
            <w:r>
              <w:t>3067357.95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16 %</w:t>
            </w:r>
          </w:p>
        </w:tc>
        <w:tc>
          <w:tcPr>
            <w:tcW w:type="dxa" w:w="1728"/>
          </w:tcPr>
          <w:p>
            <w:r>
              <w:t>41682.45</w:t>
            </w:r>
          </w:p>
        </w:tc>
      </w:tr>
      <w:tr>
        <w:tc>
          <w:tcPr>
            <w:tcW w:type="dxa" w:w="1728"/>
          </w:tcPr>
          <w:p>
            <w:r>
              <w:t>01.06.2026–30.06.2026</w:t>
            </w:r>
          </w:p>
        </w:tc>
        <w:tc>
          <w:tcPr>
            <w:tcW w:type="dxa" w:w="1728"/>
          </w:tcPr>
          <w:p>
            <w:r>
              <w:t>2951215.08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16 %</w:t>
            </w:r>
          </w:p>
        </w:tc>
        <w:tc>
          <w:tcPr>
            <w:tcW w:type="dxa" w:w="1728"/>
          </w:tcPr>
          <w:p>
            <w:r>
              <w:t>38810.50</w:t>
            </w:r>
          </w:p>
        </w:tc>
      </w:tr>
    </w:tbl>
    <w:p>
      <w:r>
        <w:t>2.2. Итого проценты за пользование чужими денежными средствами за период с 01.01.2026 по 30.06.2026 составляют 202 730,44 ₽.</w:t>
      </w:r>
    </w:p>
    <w:p>
      <w:pPr>
        <w:pStyle w:val="Heading2"/>
      </w:pPr>
      <w:r>
        <w:t>3. Требования</w:t>
      </w:r>
    </w:p>
    <w:p>
      <w:r>
        <w:t>3.1. Погасить задолженность по договору № РСУ-2024/33 в сумме 3 108 332,09 ₽ в течение пяти рабочих дней с даты получения настоящей претензии.</w:t>
      </w:r>
    </w:p>
    <w:p>
      <w:r>
        <w:t>3.2. Уплатить проценты за пользование чужими денежными средствами в сумме 202 730,44 ₽, рассчитанные согласно разделу 2 настоящей претензии, а также проценты, начисленные за период с 01.07.2026 по дату фактической оплаты задолженности.</w:t>
      </w:r>
    </w:p>
    <w:p>
      <w:r>
        <w:t>3.3. Впредь до полного погашения задолженности отгрузка новых партий по договору № РСУ-2024/33 приостанавливается.</w:t>
      </w:r>
    </w:p>
    <w:p>
      <w:pPr>
        <w:pStyle w:val="Heading2"/>
      </w:pPr>
      <w:r>
        <w:t>4. Порядок урегулирования</w:t>
      </w:r>
    </w:p>
    <w:p>
      <w:r>
        <w:t>4.1. В случае непогашения задолженности и неуплаты процентов в срок, установленный настоящей претензией, ООО «Родос-Деталь-Сборка» оставляет за собой право обратиться в арбитражный суд с требованием о взыскании задолженности, процентов и судебных расходов без дополнительного уведомления.</w:t>
      </w:r>
    </w:p>
    <w:p>
      <w:r>
        <w:t>4.2. Настоящая претензия направлена ООО «Ремсервис-Урал» по телекоммуникационным каналам электронного документооборота.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