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10.07.2026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Справка-расчёт резерва по сомнительным долгам на 30.06.2026</w:t>
      </w:r>
    </w:p>
    <w:p>
      <w:pPr>
        <w:pStyle w:val="Heading2"/>
      </w:pPr>
      <w:r>
        <w:t>1. Основание расчёта</w:t>
      </w:r>
    </w:p>
    <w:p>
      <w:r>
        <w:t>1.1. Настоящая справка-расчёт составлена по итогам инвентаризации расчётов с покупателями по состоянию на 30.06.2026 (акт инвентаризации AKT-INVENT-2026-01) в соответствии со статьёй 266 Налогового кодекса Российской Федерации.</w:t>
      </w:r>
    </w:p>
    <w:p>
      <w:r>
        <w:t>1.2. Сомнительным долгом признаётся не погашенная в срок, установленный договором, и не обеспеченная задолженность покупателя. Размер резерва определяется по следующей шкале: срок просрочки до 45 календарных дней — резерв не создаётся; от 45 до 90 календарных дней включительно — резерв в размере 50 % суммы задолженности; свыше 90 календарных дней — резерв в размере 100 % суммы задолженности.</w:t>
      </w:r>
    </w:p>
    <w:p>
      <w:pPr>
        <w:pStyle w:val="Heading2"/>
      </w:pPr>
      <w:r>
        <w:t>2. Расчёт по контрагентам</w:t>
      </w:r>
    </w:p>
    <w:p>
      <w:r>
        <w:t>2.1. По результатам инвентаризации в пределах установленных договорами сроков оплаты находится задолженность пяти покупателей; основания для создания резерва по ним отсутствуют.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Контрагент</w:t>
            </w:r>
          </w:p>
        </w:tc>
        <w:tc>
          <w:tcPr>
            <w:tcW w:type="dxa" w:w="1440"/>
          </w:tcPr>
          <w:p>
            <w:r>
              <w:t>Договор</w:t>
            </w:r>
          </w:p>
        </w:tc>
        <w:tc>
          <w:tcPr>
            <w:tcW w:type="dxa" w:w="1440"/>
          </w:tcPr>
          <w:p>
            <w:r>
              <w:t>Сумма задолженности, ₽</w:t>
            </w:r>
          </w:p>
        </w:tc>
        <w:tc>
          <w:tcPr>
            <w:tcW w:type="dxa" w:w="1440"/>
          </w:tcPr>
          <w:p>
            <w:r>
              <w:t>Дней просрочки</w:t>
            </w:r>
          </w:p>
        </w:tc>
        <w:tc>
          <w:tcPr>
            <w:tcW w:type="dxa" w:w="1440"/>
          </w:tcPr>
          <w:p>
            <w:r>
              <w:t>% резерва</w:t>
            </w:r>
          </w:p>
        </w:tc>
        <w:tc>
          <w:tcPr>
            <w:tcW w:type="dxa" w:w="1440"/>
          </w:tcPr>
          <w:p>
            <w:r>
              <w:t>Сумма резерва, ₽</w:t>
            </w:r>
          </w:p>
        </w:tc>
      </w:tr>
      <w:tr>
        <w:tc>
          <w:tcPr>
            <w:tcW w:type="dxa" w:w="1440"/>
          </w:tcPr>
          <w:p>
            <w:r>
              <w:t>АО «Редмаш»</w:t>
            </w:r>
          </w:p>
        </w:tc>
        <w:tc>
          <w:tcPr>
            <w:tcW w:type="dxa" w:w="1440"/>
          </w:tcPr>
          <w:p>
            <w:r>
              <w:t>РМ-2025/01</w:t>
            </w:r>
          </w:p>
        </w:tc>
        <w:tc>
          <w:tcPr>
            <w:tcW w:type="dxa" w:w="1440"/>
          </w:tcPr>
          <w:p>
            <w:r>
              <w:t>2280431.24</w:t>
            </w:r>
          </w:p>
        </w:tc>
        <w:tc>
          <w:tcPr>
            <w:tcW w:type="dxa" w:w="1440"/>
          </w:tcPr>
          <w:p>
            <w:r>
              <w:t>в пределах срока оплаты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«Привод-НН»</w:t>
            </w:r>
          </w:p>
        </w:tc>
        <w:tc>
          <w:tcPr>
            <w:tcW w:type="dxa" w:w="1440"/>
          </w:tcPr>
          <w:p>
            <w:r>
              <w:t>ПНН-2025/08</w:t>
            </w:r>
          </w:p>
        </w:tc>
        <w:tc>
          <w:tcPr>
            <w:tcW w:type="dxa" w:w="1440"/>
          </w:tcPr>
          <w:p>
            <w:r>
              <w:t>3289410.15</w:t>
            </w:r>
          </w:p>
        </w:tc>
        <w:tc>
          <w:tcPr>
            <w:tcW w:type="dxa" w:w="1440"/>
          </w:tcPr>
          <w:p>
            <w:r>
              <w:t>в пределах срока оплаты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АО «Гидромаш-Юг»</w:t>
            </w:r>
          </w:p>
        </w:tc>
        <w:tc>
          <w:tcPr>
            <w:tcW w:type="dxa" w:w="1440"/>
          </w:tcPr>
          <w:p>
            <w:r>
              <w:t>ГЮ-2025/04</w:t>
            </w:r>
          </w:p>
        </w:tc>
        <w:tc>
          <w:tcPr>
            <w:tcW w:type="dxa" w:w="1440"/>
          </w:tcPr>
          <w:p>
            <w:r>
              <w:t>2669409.04</w:t>
            </w:r>
          </w:p>
        </w:tc>
        <w:tc>
          <w:tcPr>
            <w:tcW w:type="dxa" w:w="1440"/>
          </w:tcPr>
          <w:p>
            <w:r>
              <w:t>в пределах срока оплаты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«Конвейер-Системс»</w:t>
            </w:r>
          </w:p>
        </w:tc>
        <w:tc>
          <w:tcPr>
            <w:tcW w:type="dxa" w:w="1440"/>
          </w:tcPr>
          <w:p>
            <w:r>
              <w:t>КС-2025/12</w:t>
            </w:r>
          </w:p>
        </w:tc>
        <w:tc>
          <w:tcPr>
            <w:tcW w:type="dxa" w:w="1440"/>
          </w:tcPr>
          <w:p>
            <w:r>
              <w:t>178611.82</w:t>
            </w:r>
          </w:p>
        </w:tc>
        <w:tc>
          <w:tcPr>
            <w:tcW w:type="dxa" w:w="1440"/>
          </w:tcPr>
          <w:p>
            <w:r>
              <w:t>в пределах срока оплаты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ТОО «KazMashParts»</w:t>
            </w:r>
          </w:p>
        </w:tc>
        <w:tc>
          <w:tcPr>
            <w:tcW w:type="dxa" w:w="1440"/>
          </w:tcPr>
          <w:p>
            <w:r>
              <w:t>KMP-2025/02</w:t>
            </w:r>
          </w:p>
        </w:tc>
        <w:tc>
          <w:tcPr>
            <w:tcW w:type="dxa" w:w="1440"/>
          </w:tcPr>
          <w:p>
            <w:r>
              <w:t>1060860.85</w:t>
            </w:r>
          </w:p>
        </w:tc>
        <w:tc>
          <w:tcPr>
            <w:tcW w:type="dxa" w:w="1440"/>
          </w:tcPr>
          <w:p>
            <w:r>
              <w:t>в пределах срока оплаты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«Ремсервис-Урал»</w:t>
            </w:r>
          </w:p>
        </w:tc>
        <w:tc>
          <w:tcPr>
            <w:tcW w:type="dxa" w:w="1440"/>
          </w:tcPr>
          <w:p>
            <w:r>
              <w:t>РСУ-2024/33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12587055.19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</w:tr>
    </w:tbl>
    <w:p>
      <w:r>
        <w:t>2.2. Для расчёта срока просрочки по контрагенту ООО «Ремсервис-Урал» за дату возникновения задолженности принята дата отгрузки по универсальному передаточному документу № УПД-2026-0105 от 01.03.2026, поскольку договором № РСУ-2024/33 установлена 100-процентная предоплата и отгрузка данной партии произведена при неполном поступлении предоплаты. Срок просрочки на 30.06.2026 составляет 121 календарный день, что относит задолженность к категории свыше 90 дней.</w:t>
      </w:r>
    </w:p>
    <w:p>
      <w:pPr>
        <w:pStyle w:val="Heading2"/>
      </w:pPr>
      <w:r>
        <w:t>3. Итог</w:t>
      </w:r>
    </w:p>
    <w:p>
      <w:r>
        <w:t>3.1. Сумма резерва по сомнительным долгам, подлежащая отражению в бухгалтерском учёте по состоянию на 30.06.2026, составляет 3 108 332,09 ₽ — в полном объёме по задолженности ООО «Ремсервис-Урал».</w:t>
      </w:r>
    </w:p>
    <w:p>
      <w:r>
        <w:t>3.2. При погашении задолженности ООО «Ремсервис-Урал» либо изменении срока просрочки резерв подлежит корректировке в периоде, когда соответствующие обстоятельства наступили.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