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01.10.2025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15.10.2025</w:t>
      </w:r>
    </w:p>
    <w:p>
      <w:pPr>
        <w:pStyle w:val="Title"/>
      </w:pPr>
      <w:r>
        <w:t>Чек-лист отзыва доступов при увольнении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чек-лист устанавливает порядок и сроки отзыва доступов, изъятия техники и передачи данных при увольнении сотрудника ГК «Родос-Деталь» независимо от занимаемой должности и площадки.</w:t>
      </w:r>
    </w:p>
    <w:p>
      <w:r>
        <w:t>1.2. Чек-лист обязателен для отдела кадров, непосредственных руководителей увольняемых сотрудников и ИТ-службы.</w:t>
      </w:r>
    </w:p>
    <w:p>
      <w:r>
        <w:t>1.3. Основанием для запуска процедуры является приказ об увольнении либо служебная записка непосредственного руководителя о предстоящем увольнении.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ИБ — информационная безопасность.</w:t>
      </w:r>
    </w:p>
    <w:p>
      <w:pPr>
        <w:pStyle w:val="ListBullet"/>
      </w:pPr>
      <w:r>
        <w:t>Дата увольнения — последний рабочий день сотрудника, указанный в приказе.</w:t>
      </w:r>
    </w:p>
    <w:p>
      <w:pPr>
        <w:pStyle w:val="ListBullet"/>
      </w:pPr>
      <w:r>
        <w:t>Блокировка учётной записи — перевод учётной записи в состояние, исключающее вход в информационные системы, без её физического удаления.</w:t>
      </w:r>
    </w:p>
    <w:p>
      <w:pPr>
        <w:pStyle w:val="Heading2"/>
      </w:pPr>
      <w:r>
        <w:t>3. Порядок уведомления ИТ-службы</w:t>
      </w:r>
    </w:p>
    <w:p>
      <w:r>
        <w:t>3.1. Отдел кадров направляет в службу поддержки уведомление о предстоящем увольнении не позднее чем за 2 рабочих дня до даты увольнения.</w:t>
      </w:r>
    </w:p>
    <w:p>
      <w:r>
        <w:t>3.2. При увольнении по инициативе работодателя или в случаях, когда риск неправомерных действий сотрудника оценивается как повышенный, непосредственный руководитель направляет уведомление немедленно после подписания приказа, а блокировка доступа может быть произведена в тот же день до окончания рабочего дня по решению руководителя ИТ.</w:t>
      </w:r>
    </w:p>
    <w:p>
      <w:r>
        <w:t>3.3. Пример: при увольнении системного администратора 01.09.2026 блокировка учётной записи и отзыв всех привилегированных доступов произведены руководителем ИТ до конца рабочего дня в связи с характером должности и уровнем предоставленных полномочий.</w:t>
      </w:r>
    </w:p>
    <w:p>
      <w:pPr>
        <w:pStyle w:val="Heading2"/>
      </w:pPr>
      <w:r>
        <w:t>4. Блокировка учётной записи и почты</w:t>
      </w:r>
    </w:p>
    <w:p>
      <w:r>
        <w:t>4.1. Учётная запись увольняемого сотрудника блокируется в день увольнения до конца рабочего дня.</w:t>
      </w:r>
    </w:p>
    <w:p>
      <w:r>
        <w:t>4.2. Пересылка почты на другой ящик после блокировки не производится; при необходимости передачи переписки коллегам применяется порядок, установленный пунктом 6 настоящего чек-листа.</w:t>
      </w:r>
    </w:p>
    <w:p>
      <w:r>
        <w:t>4.3. Почтовый ящик уволенного сотрудника архивируется и хранится не менее 6 месяцев с даты увольнения, после чего может быть удалён по решению руководителя ИТ.</w:t>
      </w:r>
    </w:p>
    <w:p>
      <w:pPr>
        <w:pStyle w:val="Heading2"/>
      </w:pPr>
      <w:r>
        <w:t>5. Отзыв доступа в информационных системах</w:t>
      </w:r>
    </w:p>
    <w:p>
      <w:r>
        <w:t>5.1. Системный администратор отзывает доступ уволенного сотрудника во всех системах, где ему предоставлялся доступ по матрице доступа (ИТ-РБАК-МАТРИЦА), в день увольнения до конца рабочего дня.</w:t>
      </w:r>
    </w:p>
    <w:p>
      <w:r>
        <w:t>5.2. Отзыв доступа фиксируется по каждой системе отдельно: 1С:ERP, 1С:Бухгалтерия (при наличии), ЭДО Диадок, файловый сервер, VPN, Bitrix24, СКУД, служба поддержки, лабораторная система КИП — с отметкой времени отзыва.</w:t>
      </w:r>
    </w:p>
    <w:p>
      <w:r>
        <w:t>5.3. Для систем с привилегированными учётными записями (администраторские права в 1С:ERP, ЭДО Диадок, файловом сервере, VPN) системный администратор дополнительно меняет пароли служебных и общих учётных записей, к которым увольняемый сотрудник имел доступ.</w:t>
      </w:r>
    </w:p>
    <w:p>
      <w:r>
        <w:t>5.4. Пропуск в системе контроля доступа (СКУД) блокируется одновременно с учётной записью; физический пропуск изымается кадровой службой при оформлении обходного листа.</w:t>
      </w:r>
    </w:p>
    <w:p>
      <w:pPr>
        <w:pStyle w:val="Heading2"/>
      </w:pPr>
      <w:r>
        <w:t>6. Передача данных</w:t>
      </w:r>
    </w:p>
    <w:p>
      <w:r>
        <w:t>6.1. Непосредственный руководитель определяет состав рабочих файлов и переписки увольняемого сотрудника, подлежащих передаче на хранение или другому сотруднику, и указывает это в заявке в службу поддержки.</w:t>
      </w:r>
    </w:p>
    <w:p>
      <w:r>
        <w:t>6.2. Передача данных с личного каталога увольняемого сотрудника на файловом сервере производится системным администратором не позднее дня увольнения по заявке непосредственного руководителя.</w:t>
      </w:r>
    </w:p>
    <w:p>
      <w:r>
        <w:t>6.3. Не подлежат передаче персональные данные и переписка личного характера; такие данные удаляются без восстановления.</w:t>
      </w:r>
    </w:p>
    <w:p>
      <w:pPr>
        <w:pStyle w:val="Heading2"/>
      </w:pPr>
      <w:r>
        <w:t>7. Возврат техники</w:t>
      </w:r>
    </w:p>
    <w:p>
      <w:r>
        <w:t>7.1. Увольняемый сотрудник возвращает выданную технику (ноутбук или рабочую станцию, монитор, периферию, средства двухфакторной аутентификации, мобильные устройства предприятия при наличии) в день увольнения.</w:t>
      </w:r>
    </w:p>
    <w:p>
      <w:r>
        <w:t>7.2. Приём техники оформляется актом возврата с проверкой комплектности и сверкой с актом приёма-передачи, оформленным при выдаче.</w:t>
      </w:r>
    </w:p>
    <w:p>
      <w:r>
        <w:t>7.3. Возврат техники подтверждается в обходном листе увольняемого сотрудника; без отметки ИТ-службы обходной лист не считается закрытым.</w:t>
      </w:r>
    </w:p>
    <w:p>
      <w:pPr>
        <w:pStyle w:val="Heading2"/>
      </w:pPr>
      <w:r>
        <w:t>8. Сроки этапов и ответственные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Этап</w:t>
            </w:r>
          </w:p>
        </w:tc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Ответственный</w:t>
            </w:r>
          </w:p>
        </w:tc>
      </w:tr>
      <w:tr>
        <w:tc>
          <w:tcPr>
            <w:tcW w:type="dxa" w:w="2880"/>
          </w:tcPr>
          <w:p>
            <w:r>
              <w:t>Уведомление ИТ-службы об увольнении</w:t>
            </w:r>
          </w:p>
        </w:tc>
        <w:tc>
          <w:tcPr>
            <w:tcW w:type="dxa" w:w="2880"/>
          </w:tcPr>
          <w:p>
            <w:r>
              <w:t>не позднее 2 рабочих дней до даты увольнения</w:t>
            </w:r>
          </w:p>
        </w:tc>
        <w:tc>
          <w:tcPr>
            <w:tcW w:type="dxa" w:w="2880"/>
          </w:tcPr>
          <w:p>
            <w:r>
              <w:t>отдел кадров</w:t>
            </w:r>
          </w:p>
        </w:tc>
      </w:tr>
      <w:tr>
        <w:tc>
          <w:tcPr>
            <w:tcW w:type="dxa" w:w="2880"/>
          </w:tcPr>
          <w:p>
            <w:r>
              <w:t>Блокировка учётной записи</w:t>
            </w:r>
          </w:p>
        </w:tc>
        <w:tc>
          <w:tcPr>
            <w:tcW w:type="dxa" w:w="2880"/>
          </w:tcPr>
          <w:p>
            <w:r>
              <w:t>день увольнения, до конца рабочего дня</w:t>
            </w:r>
          </w:p>
        </w:tc>
        <w:tc>
          <w:tcPr>
            <w:tcW w:type="dxa" w:w="2880"/>
          </w:tcPr>
          <w:p>
            <w:r>
              <w:t>системный администратор</w:t>
            </w:r>
          </w:p>
        </w:tc>
      </w:tr>
      <w:tr>
        <w:tc>
          <w:tcPr>
            <w:tcW w:type="dxa" w:w="2880"/>
          </w:tcPr>
          <w:p>
            <w:r>
              <w:t>Отзыв доступа во всех системах</w:t>
            </w:r>
          </w:p>
        </w:tc>
        <w:tc>
          <w:tcPr>
            <w:tcW w:type="dxa" w:w="2880"/>
          </w:tcPr>
          <w:p>
            <w:r>
              <w:t>день увольнения, до конца рабочего дня</w:t>
            </w:r>
          </w:p>
        </w:tc>
        <w:tc>
          <w:tcPr>
            <w:tcW w:type="dxa" w:w="2880"/>
          </w:tcPr>
          <w:p>
            <w:r>
              <w:t>системный администратор</w:t>
            </w:r>
          </w:p>
        </w:tc>
      </w:tr>
      <w:tr>
        <w:tc>
          <w:tcPr>
            <w:tcW w:type="dxa" w:w="2880"/>
          </w:tcPr>
          <w:p>
            <w:r>
              <w:t>Передача данных</w:t>
            </w:r>
          </w:p>
        </w:tc>
        <w:tc>
          <w:tcPr>
            <w:tcW w:type="dxa" w:w="2880"/>
          </w:tcPr>
          <w:p>
            <w:r>
              <w:t>день увольнения</w:t>
            </w:r>
          </w:p>
        </w:tc>
        <w:tc>
          <w:tcPr>
            <w:tcW w:type="dxa" w:w="2880"/>
          </w:tcPr>
          <w:p>
            <w:r>
              <w:t>системный администратор</w:t>
            </w:r>
          </w:p>
        </w:tc>
      </w:tr>
      <w:tr>
        <w:tc>
          <w:tcPr>
            <w:tcW w:type="dxa" w:w="2880"/>
          </w:tcPr>
          <w:p>
            <w:r>
              <w:t>Приём техники по акту возврата</w:t>
            </w:r>
          </w:p>
        </w:tc>
        <w:tc>
          <w:tcPr>
            <w:tcW w:type="dxa" w:w="2880"/>
          </w:tcPr>
          <w:p>
            <w:r>
              <w:t>день увольнения</w:t>
            </w:r>
          </w:p>
        </w:tc>
        <w:tc>
          <w:tcPr>
            <w:tcW w:type="dxa" w:w="2880"/>
          </w:tcPr>
          <w:p>
            <w:r>
              <w:t>системный администратор</w:t>
            </w:r>
          </w:p>
        </w:tc>
      </w:tr>
      <w:tr>
        <w:tc>
          <w:tcPr>
            <w:tcW w:type="dxa" w:w="2880"/>
          </w:tcPr>
          <w:p>
            <w:r>
              <w:t>Архивирование почтового ящика</w:t>
            </w:r>
          </w:p>
        </w:tc>
        <w:tc>
          <w:tcPr>
            <w:tcW w:type="dxa" w:w="2880"/>
          </w:tcPr>
          <w:p>
            <w:r>
              <w:t>не менее 6 месяцев с даты увольнения</w:t>
            </w:r>
          </w:p>
        </w:tc>
        <w:tc>
          <w:tcPr>
            <w:tcW w:type="dxa" w:w="2880"/>
          </w:tcPr>
          <w:p>
            <w:r>
              <w:t>системный администратор</w:t>
            </w:r>
          </w:p>
        </w:tc>
      </w:tr>
    </w:tbl>
    <w:p>
      <w:pPr>
        <w:pStyle w:val="Heading2"/>
      </w:pPr>
      <w:r>
        <w:t>9. Ответственность</w:t>
      </w:r>
    </w:p>
    <w:p>
      <w:r>
        <w:t>9.1. Ответственность за своевременное уведомление ИТ-службы несёт отдел кадров.</w:t>
      </w:r>
    </w:p>
    <w:p>
      <w:r>
        <w:t>9.2. Ответственность за полноту и своевременность отзыва доступов во всех системах несёт системный администратор.</w:t>
      </w:r>
    </w:p>
    <w:p>
      <w:r>
        <w:t>9.3. Ответственность за организацию процедуры отзыва доступов в целом несёт руководитель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