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19.02.2026</w:t>
      </w:r>
    </w:p>
    <w:p>
      <w:pPr>
        <w:pStyle w:val="Title"/>
      </w:pPr>
      <w:r>
        <w:t>Разбор инцидента: массовая фишинговая рассылка под видом писем от поставщика</w:t>
      </w:r>
    </w:p>
    <w:p>
      <w:pPr>
        <w:pStyle w:val="Heading2"/>
      </w:pPr>
      <w:r>
        <w:t>1. Событие</w:t>
      </w:r>
    </w:p>
    <w:p>
      <w:r>
        <w:t>1.1. Дата: 11.02.2026, первая половина рабочего дня.</w:t>
      </w:r>
    </w:p>
    <w:p>
      <w:r>
        <w:t>1.2. Канал: корпоративная почта (Exchange).</w:t>
      </w:r>
    </w:p>
    <w:p>
      <w:r>
        <w:t>1.3. Характер: массовая рассылка фишинговых писем на адреса сотрудников отделов продаж и снабжения на всех трёх площадках, оформленных под видом писем от постоянного поставщика ООО «Прикамье-Прокат» с просьбой подтвердить учётные данные для доступа к «личному кабинету поставщика».</w:t>
      </w:r>
    </w:p>
    <w:p>
      <w:r>
        <w:t>1.4. Последствие: двое сотрудников (менеджер по продажам и бухгалтер по расчётам с контрагентами) перешли по ссылке из письма и ввели логин и пароль корпоративной учётной записи на стороннем сайте, имитирующем страницу входа в почту.</w:t>
      </w:r>
    </w:p>
    <w:p>
      <w:pPr>
        <w:pStyle w:val="Heading2"/>
      </w:pPr>
      <w:r>
        <w:t>2. Хронология</w:t>
      </w:r>
    </w:p>
    <w:p>
      <w:r>
        <w:t>2.1. 09:05 — начата массовая рассылка на 42 адреса корпоративной почты; отправитель подделан под адрес sales@prikamye-prokat.example.com.</w:t>
      </w:r>
    </w:p>
    <w:p>
      <w:r>
        <w:t>2.2. 09:40 — бухгалтер по расчётам с контрагентами переходит по ссылке из письма и вводит логин и пароль на стороннем сайте.</w:t>
      </w:r>
    </w:p>
    <w:p>
      <w:r>
        <w:t>2.3. 10:15 — менеджер по продажам, получив аналогичное письмо, также переходит по ссылке и вводит учётные данные.</w:t>
      </w:r>
    </w:p>
    <w:p>
      <w:r>
        <w:t>2.4. 10:50 — менеджер по продажам сообщает коллеге о подозрительном письме; коллега рекомендует обратиться в ИТ-службу.</w:t>
      </w:r>
    </w:p>
    <w:p>
      <w:r>
        <w:t>2.5. 11:05 — поступает первая заявка в службу поддержки с пометкой о подозрении на фишинг.</w:t>
      </w:r>
    </w:p>
    <w:p>
      <w:r>
        <w:t>2.6. 11:20 — ИТ-служба блокирует пересылку писем с признаками рассылки на уровне почтового сервера и рассылает предупреждение всем сотрудникам не открывать письма от имени ООО «Прикамье-Прокат» за это утро.</w:t>
      </w:r>
    </w:p>
    <w:p>
      <w:r>
        <w:t>2.7. 11:40 — принудительная смена паролей для двух скомпрометированных учётных записей и завершение всех их активных сессий.</w:t>
      </w:r>
    </w:p>
    <w:p>
      <w:r>
        <w:t>2.8. 12:30 — проверка журналов почтового сервера подтверждает, что несанкционированного входа в почту под скомпрометированными учётными записями до смены паролей зафиксировано не было.</w:t>
      </w:r>
    </w:p>
    <w:p>
      <w:pPr>
        <w:pStyle w:val="Heading2"/>
      </w:pPr>
      <w:r>
        <w:t>3. Последствия</w:t>
      </w:r>
    </w:p>
    <w:p>
      <w:r>
        <w:t>3.1. Компрометация учётных данных двух сотрудников; подтверждённых фактов несанкционированного доступа к почте или иным системам под этими учётными записями не выявлено.</w:t>
      </w:r>
    </w:p>
    <w:p>
      <w:r>
        <w:t>3.2. Простоя систем предприятия не было; инцидент не затронул производственный процесс.</w:t>
      </w:r>
    </w:p>
    <w:p>
      <w:r>
        <w:t>3.3. Дополнительная нагрузка на ИТ-службу: анализ журналов почтового сервера у 42 адресатов рассылки занял два рабочих дня.</w:t>
      </w:r>
    </w:p>
    <w:p>
      <w:pPr>
        <w:pStyle w:val="Heading2"/>
      </w:pPr>
      <w:r>
        <w:t>4. Причина</w:t>
      </w:r>
    </w:p>
    <w:p>
      <w:r>
        <w:t>4.1. Непосредственная причина: сотрудники не распознали признаки поддельного письма (адрес отправителя, срочность просьбы, внешняя ссылка вместо внутренней системы) и ввели пароль на стороннем сайте.</w:t>
      </w:r>
    </w:p>
    <w:p>
      <w:r>
        <w:t>4.2. Коренная причина: до инцидента на предприятии не было отдельной инструкции с понятными признаками фишинга и чётким порядком действий сотрудника при подозрении; вопрос информационной безопасности освещался только в общем вводном инструктаже при приёме на работу.</w:t>
      </w:r>
    </w:p>
    <w:p>
      <w:pPr>
        <w:pStyle w:val="Heading2"/>
      </w:pPr>
      <w:r>
        <w:t>5. Что сработало и что не сработало</w:t>
      </w:r>
    </w:p>
    <w:p>
      <w:r>
        <w:t>5.1. Сработало: менеджер по продажам сообщил о подозрении в течение получаса после ввода пароля, что позволило оперативно сменить пароли и не допустить дальнейшего использования скомпрометированных данных.</w:t>
      </w:r>
    </w:p>
    <w:p>
      <w:r>
        <w:t>5.2. Сработало: почтовый фильтр не заблокировал рассылку автоматически, но блокировка вручную на уровне почтового сервера остановила дальнейшую доставку писем в течение 15 минут после первой заявки.</w:t>
      </w:r>
    </w:p>
    <w:p>
      <w:r>
        <w:t>5.3. Не сработало: у сотрудников не было понятной инструкции с признаками фишинга — оба пострадавших сотрудника впоследствии подтвердили, что заметили странности в письме, но не придали им значения.</w:t>
      </w:r>
    </w:p>
    <w:p>
      <w:r>
        <w:t>5.4. Не сработало: не было единого понятного канала для быстрого сообщения о подозрительном письме — часть сотрудников делилась подозрениями с коллегами, а не с ИТ-службой напрямую, что задержало реакцию.</w:t>
      </w:r>
    </w:p>
    <w:p>
      <w:pPr>
        <w:pStyle w:val="Heading2"/>
      </w:pPr>
      <w:r>
        <w:t>6.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Разработать и довести до всех сотрудников инструкцию о признаках фишинга и порядке действий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02.03.2026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Включить проверку по признакам фишинга в план вводного инструктажа новых сотрудников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02.03.2026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Настроить дополнительное правило почтового фильтра на выявление писем с внешними ссылками на страницы ввода пароля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25.02.2026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Провести внеплановое разъяснение для отделов продаж и снабжения о недопустимости ввода пароля по внешним ссылкам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20.02.2026</w:t>
            </w:r>
          </w:p>
        </w:tc>
      </w:tr>
    </w:tbl>
    <w:p>
      <w:pPr>
        <w:pStyle w:val="Heading2"/>
      </w:pPr>
      <w:r>
        <w:t>7. Контроль исполнения</w:t>
      </w:r>
    </w:p>
    <w:p>
      <w:r>
        <w:t>7.1. Отметки о выполнении мероприятий вносятся в реестр инцидентов ИТ-РЕЕСТР-ИНЦ-2026.</w:t>
      </w:r>
    </w:p>
    <w:p>
      <w:r>
        <w:t>7.2. Инструкция по мероприятию 1 введена в действие как ИТ-ИНС-10.</w:t>
      </w:r>
    </w:p>
    <w:p>
      <w:r>
        <w:t>7.3. Повторную проверку выполнения проводит руководитель ИТ не позднее 10.03.2026.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