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Руководитель ИТ</w:t>
      </w:r>
    </w:p>
    <w:p>
      <w:r>
        <w:rPr>
          <w:i/>
        </w:rPr>
        <w:t>Дата утверждения: 08.06.2026</w:t>
      </w:r>
    </w:p>
    <w:p>
      <w:pPr>
        <w:pStyle w:val="Title"/>
      </w:pPr>
      <w:r>
        <w:t>Разбор инцидента: потеря связи между площадками из-за обрыва канала у провайдера</w:t>
      </w:r>
    </w:p>
    <w:p>
      <w:pPr>
        <w:pStyle w:val="Heading2"/>
      </w:pPr>
      <w:r>
        <w:t>1. Событие</w:t>
      </w:r>
    </w:p>
    <w:p>
      <w:r>
        <w:t>1.1. Дата и время: 30.05.2026, 08:55.</w:t>
      </w:r>
    </w:p>
    <w:p>
      <w:r>
        <w:t>1.2. Характер: обрыв магистрального канала связи между Ковровской и Пермской площадками на стороне провайдера связи, из-за которого Ковровская площадка потеряла доступ к серверам 1С:ERP, файловому серверу и почтовому серверу, физически расположенным в серверной на Пермской площадке.</w:t>
      </w:r>
    </w:p>
    <w:p>
      <w:r>
        <w:t>1.3. Тольяттинская площадка канал связи не потеряла и продолжила работу в штатном режиме.</w:t>
      </w:r>
    </w:p>
    <w:p>
      <w:pPr>
        <w:pStyle w:val="Heading2"/>
      </w:pPr>
      <w:r>
        <w:t>2. Хронология</w:t>
      </w:r>
    </w:p>
    <w:p>
      <w:r>
        <w:t>2.1. 08:55 — на Ковровской площадке одновременно перестают отвечать 1С:ERP, файловый сервер и корпоративная почта; цеховые терминалы цехов №1 и №2 теряют связь с сервером.</w:t>
      </w:r>
    </w:p>
    <w:p>
      <w:r>
        <w:t>2.2. 09:05 — мастера участков сообщают начальникам цехов о недоступности терминалов; начальники цехов переходят на выдачу сменных заданий на бумажных бланках по данным, распечатанным накануне.</w:t>
      </w:r>
    </w:p>
    <w:p>
      <w:r>
        <w:t>2.3. 09:15 — системный администратор подтверждает, что сервер на Пермской площадке работает штатно, а проблема — во внешнем канале связи до Коврова.</w:t>
      </w:r>
    </w:p>
    <w:p>
      <w:r>
        <w:t>2.4. 09:30 — оформлена заявка в техническую поддержку провайдера связи; провайдер подтверждает обрыв волоконно-оптической линии при проведении земляных работ третьей стороной на трассе кабеля.</w:t>
      </w:r>
    </w:p>
    <w:p>
      <w:r>
        <w:t>2.5. 09:45 — включён резервный канал связи (мобильный интернет через маршрутизатор с SIM-картой), но его пропускной способности недостаточно для полноценной работы 1С:ERP — доступна только электронная почта в ограниченном режиме.</w:t>
      </w:r>
    </w:p>
    <w:p>
      <w:r>
        <w:t>2.6. 16:10 — провайдер завершает аварийный ремонт линии, основной канал связи восстановлен, работа систем на Ковровской площадке возобновлена в полном объёме.</w:t>
      </w:r>
    </w:p>
    <w:p>
      <w:pPr>
        <w:pStyle w:val="Heading2"/>
      </w:pPr>
      <w:r>
        <w:t>3. Последствия</w:t>
      </w:r>
    </w:p>
    <w:p>
      <w:r>
        <w:t>3.1. Ковровская площадка работала без доступа к 1С:ERP и цеховым терминалам с 08:55 до 16:10 (7 часов 15 минут).</w:t>
      </w:r>
    </w:p>
    <w:p>
      <w:r>
        <w:t>3.2. Цеха №1 и №2 выполняли сменные задания по бумажным бланкам, распечатанным накануне; фактическая выработка внесена в 1С:ERP задним числом после восстановления связи, расхождений при сверке не выявлено.</w:t>
      </w:r>
    </w:p>
    <w:p>
      <w:r>
        <w:t>3.3. Отгрузка готовой продукции с Ковровской площадки в этот день не планировалась, поэтому на сроки поставки заказчикам инцидент не повлиял.</w:t>
      </w:r>
    </w:p>
    <w:p>
      <w:pPr>
        <w:pStyle w:val="Heading2"/>
      </w:pPr>
      <w:r>
        <w:t>4. Причина</w:t>
      </w:r>
    </w:p>
    <w:p>
      <w:r>
        <w:t>4.1. Непосредственная причина: физическое повреждение линии связи провайдера сторонней организацией при проведении работ вне территории предприятия — причина вне контроля ИТ-службы.</w:t>
      </w:r>
    </w:p>
    <w:p>
      <w:r>
        <w:t>4.2. Сопутствующая причина: резервный канал связи на Ковровской площадке рассчитан только на почту и не обеспечивает работу 1С:ERP при полной нагрузке площадки, что не было явно зафиксировано и доведено до начальников цехов заранее.</w:t>
      </w:r>
    </w:p>
    <w:p>
      <w:pPr>
        <w:pStyle w:val="Heading2"/>
      </w:pPr>
      <w:r>
        <w:t>5. Что сработало и что не сработало</w:t>
      </w:r>
    </w:p>
    <w:p>
      <w:r>
        <w:t>5.1. Сработало: у цехов была отработанная практика печати сменных заданий накануне (для случаев планового обслуживания терминалов), что позволило быстро перейти на бумажные бланки без остановки производства.</w:t>
      </w:r>
    </w:p>
    <w:p>
      <w:r>
        <w:t>5.2. Сработало: резервный канал связи обеспечил работу почты, что позволило поддерживать связь с поставщиками и заказчиками.</w:t>
      </w:r>
    </w:p>
    <w:p>
      <w:r>
        <w:t>5.3. Не сработало: начальники цехов не были заранее проинформированы о том, что резервный канал не тянет 1С:ERP, и часть времени потратили на попытки подключиться к системе через резервный канал, прежде чем перейти на бумажные бланки.</w:t>
      </w:r>
    </w:p>
    <w:p>
      <w:pPr>
        <w:pStyle w:val="Heading2"/>
      </w:pPr>
      <w:r>
        <w:t>6. Мероприятия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Мероприятие</w:t>
            </w:r>
          </w:p>
        </w:tc>
        <w:tc>
          <w:tcPr>
            <w:tcW w:type="dxa" w:w="2160"/>
          </w:tcPr>
          <w:p>
            <w:r>
              <w:t>Ответственная роль</w:t>
            </w:r>
          </w:p>
        </w:tc>
        <w:tc>
          <w:tcPr>
            <w:tcW w:type="dxa" w:w="2160"/>
          </w:tcPr>
          <w:p>
            <w:r>
              <w:t>Срок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Довести до начальников цехов всех площадок ограничения резервного канала связи и порядок перехода на бумажные сменные задания</w:t>
            </w:r>
          </w:p>
        </w:tc>
        <w:tc>
          <w:tcPr>
            <w:tcW w:type="dxa" w:w="2160"/>
          </w:tcPr>
          <w:p>
            <w:r>
              <w:t>Руководитель ИТ</w:t>
            </w:r>
          </w:p>
        </w:tc>
        <w:tc>
          <w:tcPr>
            <w:tcW w:type="dxa" w:w="2160"/>
          </w:tcPr>
          <w:p>
            <w:r>
              <w:t>20.06.2026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Проработать с провайдером вопрос резервирования канала связи по альтернативному физическому маршруту</w:t>
            </w:r>
          </w:p>
        </w:tc>
        <w:tc>
          <w:tcPr>
            <w:tcW w:type="dxa" w:w="2160"/>
          </w:tcPr>
          <w:p>
            <w:r>
              <w:t>Руководитель ИТ</w:t>
            </w:r>
          </w:p>
        </w:tc>
        <w:tc>
          <w:tcPr>
            <w:tcW w:type="dxa" w:w="2160"/>
          </w:tcPr>
          <w:p>
            <w:r>
              <w:t>01.09.2026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Настроить автоматическую печать сменного задания на ближайшую смену при потере связи цехового терминала дольше 10 минут</w:t>
            </w:r>
          </w:p>
        </w:tc>
        <w:tc>
          <w:tcPr>
            <w:tcW w:type="dxa" w:w="2160"/>
          </w:tcPr>
          <w:p>
            <w:r>
              <w:t>Системный администратор</w:t>
            </w:r>
          </w:p>
        </w:tc>
        <w:tc>
          <w:tcPr>
            <w:tcW w:type="dxa" w:w="2160"/>
          </w:tcPr>
          <w:p>
            <w:r>
              <w:t>15.07.2026</w:t>
            </w:r>
          </w:p>
        </w:tc>
      </w:tr>
    </w:tbl>
    <w:p>
      <w:pPr>
        <w:pStyle w:val="Heading2"/>
      </w:pPr>
      <w:r>
        <w:t>7. Контроль исполнения</w:t>
      </w:r>
    </w:p>
    <w:p>
      <w:r>
        <w:t>7.1. Отметки о выполнении мероприятий вносятся в реестр инцидентов ИТ-РЕЕСТР-ИНЦ-2026.</w:t>
      </w:r>
    </w:p>
    <w:p>
      <w:r>
        <w:t>7.2. Повторную проверку выполнения проводит руководитель ИТ не позднее 15.09.2026.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