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26.06.2026</w:t>
      </w:r>
    </w:p>
    <w:p>
      <w:pPr>
        <w:pStyle w:val="Title"/>
      </w:pPr>
      <w:r>
        <w:t>Разбор инцидента: неучтённое средство удалённого доступа на компьютере подрядчика</w:t>
      </w:r>
    </w:p>
    <w:p>
      <w:pPr>
        <w:pStyle w:val="Heading2"/>
      </w:pPr>
      <w:r>
        <w:t>1. Событие</w:t>
      </w:r>
    </w:p>
    <w:p>
      <w:r>
        <w:t>1.1. Дата обнаружения: 17.06.2026.</w:t>
      </w:r>
    </w:p>
    <w:p>
      <w:r>
        <w:t>1.2. Место: Пермская площадка, компьютер, предоставленный предприятием представителю подрядной организации ООО «Технадзор-Эксперт» на период проведения экспертизы промышленной безопасности по договору ТНЭ-2024/19.</w:t>
      </w:r>
    </w:p>
    <w:p>
      <w:r>
        <w:t>1.3. Характер: при плановой проверке установленного программного обеспечения на компьютерах, выданных подрядчикам, системный администратор обнаружил на компьютере представителя подрядчика установленную программу удалённого доступа, не согласованную с ИТ-службой и не входящую в перечень разрешённого программного обеспечения.</w:t>
      </w:r>
    </w:p>
    <w:p>
      <w:pPr>
        <w:pStyle w:val="Heading2"/>
      </w:pPr>
      <w:r>
        <w:t>2. Хронология</w:t>
      </w:r>
    </w:p>
    <w:p>
      <w:r>
        <w:t>2.1. 17.06.2026, 10:20 — системный администратор при плановой проверке компьютеров подрядчиков (см. ИТ-РЕЕСТР-ТЕХ) обнаруживает неучтённую программу удалённого доступа.</w:t>
      </w:r>
    </w:p>
    <w:p>
      <w:r>
        <w:t>2.2. 10:40 — компьютер немедленно отключён от корпоративной сети; программа не удалена до завершения проверки, чтобы сохранить следы для анализа.</w:t>
      </w:r>
    </w:p>
    <w:p>
      <w:r>
        <w:t>2.3. 11:15 — анализ журналов сетевого оборудования показывает, что программа была установлена 12.06.2026 и за прошедшие дни выполняла попытки исходящих подключений к внешнему адресу, заблокированные сетевым экраном предприятия.</w:t>
      </w:r>
    </w:p>
    <w:p>
      <w:r>
        <w:t>2.4. 11:50 — представитель подрядчика поясняет, что программа установлена штатным ИТ-специалистом подрядной организации для удалённой технической поддержки его собственного оборудования и не предназначалась для доступа к сети предприятия.</w:t>
      </w:r>
    </w:p>
    <w:p>
      <w:r>
        <w:t>2.5. 14:00 — программа удалена с компьютера в присутствии представителя подрядчика, компьютер проверен антивирусным сканированием, после чего подключён к сети предприятия повторно.</w:t>
      </w:r>
    </w:p>
    <w:p>
      <w:r>
        <w:t>2.6. 17.06–18.06.2026 — проведена внеплановая проверка остальных семи компьютеров, выданных подрядным организациям на трёх площадках; иных случаев установки неучтённого программного обеспечения не выявлено.</w:t>
      </w:r>
    </w:p>
    <w:p>
      <w:pPr>
        <w:pStyle w:val="Heading2"/>
      </w:pPr>
      <w:r>
        <w:t>3. Последствия</w:t>
      </w:r>
    </w:p>
    <w:p>
      <w:r>
        <w:t>3.1. Подтверждённых фактов получения подрядчиком или третьими лицами несанкционированного доступа к данным или системам предприятия через данную программу не выявлено — все попытки внешних подключений были заблокированы сетевым экраном.</w:t>
      </w:r>
    </w:p>
    <w:p>
      <w:r>
        <w:t>3.2. Работа подрядной организации по договору ТНЭ-2024/19 не была приостановлена; расследование заняло два рабочих дня.</w:t>
      </w:r>
    </w:p>
    <w:p>
      <w:pPr>
        <w:pStyle w:val="Heading2"/>
      </w:pPr>
      <w:r>
        <w:t>4. Причина</w:t>
      </w:r>
    </w:p>
    <w:p>
      <w:r>
        <w:t>4.1. Непосредственная причина: представитель подрядчика установил стороннее программное обеспечение на предоставленный предприятием компьютер без согласования с ИТ-службой.</w:t>
      </w:r>
    </w:p>
    <w:p>
      <w:r>
        <w:t>4.2. Коренная причина: порядок предоставления техники подрядчикам не содержал прямого запрета на самостоятельную установку программного обеспечения и не предусматривал технического ограничения прав локального администратора на таких компьютерах.</w:t>
      </w:r>
    </w:p>
    <w:p>
      <w:pPr>
        <w:pStyle w:val="Heading2"/>
      </w:pPr>
      <w:r>
        <w:t>5. Что сработало и что не сработало</w:t>
      </w:r>
    </w:p>
    <w:p>
      <w:r>
        <w:t>5.1. Сработало: сетевой экран предприятия заблокировал все исходящие подключения программы к внешнему адресу, не допустив фактического удалённого доступа.</w:t>
      </w:r>
    </w:p>
    <w:p>
      <w:r>
        <w:t>5.2. Сработало: плановая периодическая проверка компьютеров, выданных подрядчикам, выявила нарушение до наступления вредных последствий.</w:t>
      </w:r>
    </w:p>
    <w:p>
      <w:r>
        <w:t>5.3. Не сработало: компьютеры, выдаваемые подрядчикам, предоставлялись с правами локального администратора, что позволило установить программу без участия ИТ-службы.</w:t>
      </w:r>
    </w:p>
    <w:p>
      <w:pPr>
        <w:pStyle w:val="Heading2"/>
      </w:pPr>
      <w:r>
        <w:t>6.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Ограничить права локального администратора на компьютерах, выдаваемых подрядным организациям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10.07.2026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Включить в порядок выдачи техники подрядчикам письменный запрет на самостоятельную установку программного обеспечения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01.07.2026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Сократить периодичность проверки компьютеров подрядчиков с квартальной до ежемесячной на срок действия договора подряда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01.07.2026</w:t>
            </w:r>
          </w:p>
        </w:tc>
      </w:tr>
    </w:tbl>
    <w:p>
      <w:pPr>
        <w:pStyle w:val="Heading2"/>
      </w:pPr>
      <w:r>
        <w:t>7. Контроль исполнения</w:t>
      </w:r>
    </w:p>
    <w:p>
      <w:r>
        <w:t>7.1. Отметки о выполнении мероприятий вносятся в реестр инцидентов ИТ-РЕЕСТР-ИНЦ-2026.</w:t>
      </w:r>
    </w:p>
    <w:p>
      <w:r>
        <w:t>7.2. Повторную проверку выполнения проводит руководитель ИТ не позднее 20.07.2026.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