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16.02.2026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23.02.2026</w:t>
      </w:r>
    </w:p>
    <w:p>
      <w:pPr>
        <w:pStyle w:val="Title"/>
      </w:pPr>
      <w:r>
        <w:t>Работа в 1С:Бухгалтерия: ввод первичных документов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ввода первичных документов в системе «1С:Бухгалтерия предприятия» (далее — 1С:Бухгалтерия) сотрудниками бухгалтерии.</w:t>
      </w:r>
    </w:p>
    <w:p>
      <w:r>
        <w:t>1.2. Инструкция не описывает содержание и сроки передачи первичных документов — эти вопросы регулирует ГРАФИК-ДО-2026. Настоящая инструкция описывает только технические действия в системе.</w:t>
      </w:r>
    </w:p>
    <w:p>
      <w:r>
        <w:t>1.3. Доступ к 1С:Бухгалтерия предоставляется главному бухгалтеру и бухгалтеру по расчётам с контрагентами. Порядок получения доступа — по ИТ-ИНС-06, раздел 2.</w:t>
      </w:r>
    </w:p>
    <w:p>
      <w:pPr>
        <w:pStyle w:val="Heading2"/>
      </w:pPr>
      <w:r>
        <w:t>2. Общие правила ввода документов</w:t>
      </w:r>
    </w:p>
    <w:p>
      <w:r>
        <w:t>2.1. Перед вводом документа проверяется рабочий период в правом верхнем углу окна программы: документ должен вводиться текущей датой в открытом периоде. Закрытый период отмечен в программе значком замка.</w:t>
      </w:r>
    </w:p>
    <w:p>
      <w:r>
        <w:t>2.2. Если требуется ввести документ прошедшим числом в уже закрытом периоде, бухгалтер обращается к главному бухгалтеру за временным открытием периода через раздел «Администрирование» → «Закрытие периода».</w:t>
      </w:r>
    </w:p>
    <w:p>
      <w:r>
        <w:t>2.3. Каждый первичный документ вводится один раз. Перед созданием нового документа выполняется проверка на дубликат через поиск по номеру документа контрагента в верхней панели поиска.</w:t>
      </w:r>
    </w:p>
    <w:p>
      <w:pPr>
        <w:pStyle w:val="Heading2"/>
      </w:pPr>
      <w:r>
        <w:t>3. Ввод поступления от поставщика</w:t>
      </w:r>
    </w:p>
    <w:p>
      <w:r>
        <w:t>3.1. Раздел «Покупки» → «Поступление (акты, накладные)» → «Создать» → «Товары, услуги, комиссия».</w:t>
      </w:r>
    </w:p>
    <w:p>
      <w:r>
        <w:t>3.2. Поля «Контрагент» и «Договор» заполняются из справочника; ИНН и КПП контрагента подставляются автоматически и должны совпадать с реквизитами, указанными в полученном УПД. При несовпадении документ не проводится до выяснения причины.</w:t>
      </w:r>
    </w:p>
    <w:p>
      <w:r>
        <w:t>3.3. Номер и дата документа поставщика указываются точно так, как в полученном УПД — без сокращений и без произвольного форматирования.</w:t>
      </w:r>
    </w:p>
    <w:p>
      <w:r>
        <w:t>3.4. После заполнения табличной части документ проводится кнопкой «Провести». Проведённый документ автоматически формирует запись в книге покупок для целей НДС.</w:t>
      </w:r>
    </w:p>
    <w:p>
      <w:pPr>
        <w:pStyle w:val="Heading2"/>
      </w:pPr>
      <w:r>
        <w:t>4. Ввод реализации в адрес покупателя</w:t>
      </w:r>
    </w:p>
    <w:p>
      <w:r>
        <w:t>4.1. Раздел «Продажи» → «Реализация (акты, накладные)» → «Создать».</w:t>
      </w:r>
    </w:p>
    <w:p>
      <w:r>
        <w:t>4.2. Документ реализации создаётся на основании отгрузки и должен быть введён в 1С:Бухгалтерия в день отгрузки — этот срок установлен ГРАФИК-ДО-2026 для УПД на реализацию.</w:t>
      </w:r>
    </w:p>
    <w:p>
      <w:r>
        <w:t>4.3. Печатная форма УПД формируется по кнопке «УПД» непосредственно из документа реализации; отдельно создавать УПД не требуется.</w:t>
      </w:r>
    </w:p>
    <w:p>
      <w:pPr>
        <w:pStyle w:val="Heading2"/>
      </w:pPr>
      <w:r>
        <w:t>5. Ввод банковской выписки и кассовых документов</w:t>
      </w:r>
    </w:p>
    <w:p>
      <w:r>
        <w:t>5.1. Раздел «Банк и касса» → «Банковские выписки». Выписка за текущий день загружается автоматически из системы «Клиент-банк» казначеем; бухгалтер только сверяет назначения платежей с документами оснований.</w:t>
      </w:r>
    </w:p>
    <w:p>
      <w:r>
        <w:t>5.2. Если платёж не удаётся сопоставить с документом-основанием автоматически, бухгалтер указывает документ вручную через кнопку «Заполнить» → «Указать документ расчётов» в строке выписки.</w:t>
      </w:r>
    </w:p>
    <w:p>
      <w:pPr>
        <w:pStyle w:val="Heading2"/>
      </w:pPr>
      <w:r>
        <w:t>6. Частые ошибки и что делать</w:t>
      </w:r>
    </w:p>
    <w:p>
      <w:r>
        <w:t>6.1. Ошибка: попытка провести документ в закрытом периоде — система выдаёт сообщение «Период закрыт для редактирования». Решение: обратиться к главному бухгалтеру за временным открытием периода, не пытаться изменить дату документа на текущую для обхода ограничения.</w:t>
      </w:r>
    </w:p>
    <w:p>
      <w:r>
        <w:t>6.2. Ошибка: ИНН контрагента в документе не совпадает с ИНН в справочнике контрагентов — чаще всего означает опечатку в справочнике или ошибку в присланном контрагентом документе. Решение: не проводить документ до сверки с оригиналом УПД; при необходимости уточнить реквизиты у контрагента.</w:t>
      </w:r>
    </w:p>
    <w:p>
      <w:r>
        <w:t>6.3. Ошибка: документ реализации введён повторно из-за того, что предыдущий не нашли поиском — в системе образуется задвоение. Решение: не удалять задвоенный документ самостоятельно, если он уже отправлен в ЭДО; сообщить главному бухгалтеру для корректного аннулирования.</w:t>
      </w:r>
    </w:p>
    <w:p>
      <w:r>
        <w:t>6.4. Ошибка: сумма в документе не совпадает с суммой в банковской выписке из-за частичной оплаты — документ остаётся не полностью закрытым. Решение: это нормальная ситуация при отсрочке платежа, отдельных действий не требуется, остаток отображается в отчёте «Взаиморасчёты с контрагентами».</w:t>
      </w:r>
    </w:p>
    <w:p>
      <w:r>
        <w:t>6.5. Если ошибка не описана в настоящем разделе, оформляется заявка в службу поддержки с приложением скриншота сообщения об ошибке и номера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