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01.09.2025</w:t>
      </w:r>
    </w:p>
    <w:p>
      <w:pPr>
        <w:pStyle w:val="Title"/>
      </w:pPr>
      <w:r>
        <w:t>Политика резервного копирования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политика устанавливает состав резервируемых данных, периодичность и глубину хранения резервных копий информационных систем ГК «Родос-Деталь», место их хранения и порядок проверки восстановления.</w:t>
      </w:r>
    </w:p>
    <w:p>
      <w:r>
        <w:t>1.2. Политика применяется ко всем информационным системам, учтённым в реестре информационных систем (ИТ-РЕЕСТР-СИСТЕМ).</w:t>
      </w:r>
    </w:p>
    <w:p>
      <w:r>
        <w:t>1.3. Политика обязательна для системного администратора, ответственного за резервное копирование, и для руководителя ИТ, контролирующего её исполнение.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Полная копия — резервная копия всего объёма данных системы на момент снятия копии.</w:t>
      </w:r>
    </w:p>
    <w:p>
      <w:pPr>
        <w:pStyle w:val="ListBullet"/>
      </w:pPr>
      <w:r>
        <w:t>Инкрементальная копия — резервная копия только тех данных, которые изменились с момента предыдущего копирования.</w:t>
      </w:r>
    </w:p>
    <w:p>
      <w:pPr>
        <w:pStyle w:val="ListBullet"/>
      </w:pPr>
      <w:r>
        <w:t>Проверка восстановления — контрольное развёртывание резервной копии для подтверждения её пригодности к использованию.</w:t>
      </w:r>
    </w:p>
    <w:p>
      <w:pPr>
        <w:pStyle w:val="Heading2"/>
      </w:pPr>
      <w:r>
        <w:t>3. Состав, периодичность и хранение резервных копий по системам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Система</w:t>
            </w:r>
          </w:p>
        </w:tc>
        <w:tc>
          <w:tcPr>
            <w:tcW w:type="dxa" w:w="2160"/>
          </w:tcPr>
          <w:p>
            <w:r>
              <w:t>Что копируется</w:t>
            </w:r>
          </w:p>
        </w:tc>
        <w:tc>
          <w:tcPr>
            <w:tcW w:type="dxa" w:w="2160"/>
          </w:tcPr>
          <w:p>
            <w:r>
              <w:t>Периодичность</w:t>
            </w:r>
          </w:p>
        </w:tc>
        <w:tc>
          <w:tcPr>
            <w:tcW w:type="dxa" w:w="2160"/>
          </w:tcPr>
          <w:p>
            <w:r>
              <w:t>Глубина хранения</w:t>
            </w:r>
          </w:p>
        </w:tc>
      </w:tr>
      <w:tr>
        <w:tc>
          <w:tcPr>
            <w:tcW w:type="dxa" w:w="2160"/>
          </w:tcPr>
          <w:p>
            <w:r>
              <w:t>1С:ERP Управление предприятием</w:t>
            </w:r>
          </w:p>
        </w:tc>
        <w:tc>
          <w:tcPr>
            <w:tcW w:type="dxa" w:w="2160"/>
          </w:tcPr>
          <w:p>
            <w:r>
              <w:t>полная база данных</w:t>
            </w:r>
          </w:p>
        </w:tc>
        <w:tc>
          <w:tcPr>
            <w:tcW w:type="dxa" w:w="2160"/>
          </w:tcPr>
          <w:p>
            <w:r>
              <w:t>ежедневно, полная копия</w:t>
            </w:r>
          </w:p>
        </w:tc>
        <w:tc>
          <w:tcPr>
            <w:tcW w:type="dxa" w:w="2160"/>
          </w:tcPr>
          <w:p>
            <w:r>
              <w:t>30 ежедневных копий и 12 ежемесячных копий</w:t>
            </w:r>
          </w:p>
        </w:tc>
      </w:tr>
      <w:tr>
        <w:tc>
          <w:tcPr>
            <w:tcW w:type="dxa" w:w="2160"/>
          </w:tcPr>
          <w:p>
            <w:r>
              <w:t>1С:Бухгалтерия предприятия</w:t>
            </w:r>
          </w:p>
        </w:tc>
        <w:tc>
          <w:tcPr>
            <w:tcW w:type="dxa" w:w="2160"/>
          </w:tcPr>
          <w:p>
            <w:r>
              <w:t>полная база данных</w:t>
            </w:r>
          </w:p>
        </w:tc>
        <w:tc>
          <w:tcPr>
            <w:tcW w:type="dxa" w:w="2160"/>
          </w:tcPr>
          <w:p>
            <w:r>
              <w:t>ежедневно, полная копия</w:t>
            </w:r>
          </w:p>
        </w:tc>
        <w:tc>
          <w:tcPr>
            <w:tcW w:type="dxa" w:w="2160"/>
          </w:tcPr>
          <w:p>
            <w:r>
              <w:t>30 ежедневных копий и 5 лет годовых архивов (срок хранения бухгалтерской отчётности)</w:t>
            </w:r>
          </w:p>
        </w:tc>
      </w:tr>
      <w:tr>
        <w:tc>
          <w:tcPr>
            <w:tcW w:type="dxa" w:w="2160"/>
          </w:tcPr>
          <w:p>
            <w:r>
              <w:t>ЭДО (Диадок)</w:t>
            </w:r>
          </w:p>
        </w:tc>
        <w:tc>
          <w:tcPr>
            <w:tcW w:type="dxa" w:w="2160"/>
          </w:tcPr>
          <w:p>
            <w:r>
              <w:t>реестр документов и первичные документы</w:t>
            </w:r>
          </w:p>
        </w:tc>
        <w:tc>
          <w:tcPr>
            <w:tcW w:type="dxa" w:w="2160"/>
          </w:tcPr>
          <w:p>
            <w:r>
              <w:t>ежемесячная выгрузка на файловый сервер, резервирование на стороне поставщика — непрерывно</w:t>
            </w:r>
          </w:p>
        </w:tc>
        <w:tc>
          <w:tcPr>
            <w:tcW w:type="dxa" w:w="2160"/>
          </w:tcPr>
          <w:p>
            <w:r>
              <w:t>5 лет (срок хранения первичных документов)</w:t>
            </w:r>
          </w:p>
        </w:tc>
      </w:tr>
      <w:tr>
        <w:tc>
          <w:tcPr>
            <w:tcW w:type="dxa" w:w="2160"/>
          </w:tcPr>
          <w:p>
            <w:r>
              <w:t>Корпоративная почта (Exchange)</w:t>
            </w:r>
          </w:p>
        </w:tc>
        <w:tc>
          <w:tcPr>
            <w:tcW w:type="dxa" w:w="2160"/>
          </w:tcPr>
          <w:p>
            <w:r>
              <w:t>почтовые ящики сотрудников и общие ящики подразделений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90 дней для персональных ящиков, 3 года для общих ящиков подразделений</w:t>
            </w:r>
          </w:p>
        </w:tc>
      </w:tr>
      <w:tr>
        <w:tc>
          <w:tcPr>
            <w:tcW w:type="dxa" w:w="2160"/>
          </w:tcPr>
          <w:p>
            <w:r>
              <w:t>Файловый сервер \\rodos-fs</w:t>
            </w:r>
          </w:p>
        </w:tc>
        <w:tc>
          <w:tcPr>
            <w:tcW w:type="dxa" w:w="2160"/>
          </w:tcPr>
          <w:p>
            <w:r>
              <w:t>обменные папки, регламенты, шаблоны</w:t>
            </w:r>
          </w:p>
        </w:tc>
        <w:tc>
          <w:tcPr>
            <w:tcW w:type="dxa" w:w="2160"/>
          </w:tcPr>
          <w:p>
            <w:r>
              <w:t>инкрементально ежедневно, полная копия еженедельно</w:t>
            </w:r>
          </w:p>
        </w:tc>
        <w:tc>
          <w:tcPr>
            <w:tcW w:type="dxa" w:w="2160"/>
          </w:tcPr>
          <w:p>
            <w:r>
              <w:t>90 дней инкрементальных копий, 12 месяцев полных копий</w:t>
            </w:r>
          </w:p>
        </w:tc>
      </w:tr>
      <w:tr>
        <w:tc>
          <w:tcPr>
            <w:tcW w:type="dxa" w:w="2160"/>
          </w:tcPr>
          <w:p>
            <w:r>
              <w:t>VPN (OpenVPN)</w:t>
            </w:r>
          </w:p>
        </w:tc>
        <w:tc>
          <w:tcPr>
            <w:tcW w:type="dxa" w:w="2160"/>
          </w:tcPr>
          <w:p>
            <w:r>
              <w:t>конфигурация сервера удалённого доступа</w:t>
            </w:r>
          </w:p>
        </w:tc>
        <w:tc>
          <w:tcPr>
            <w:tcW w:type="dxa" w:w="2160"/>
          </w:tcPr>
          <w:p>
            <w:r>
              <w:t>при каждом изменении конфигурации, не реже раза в квартал</w:t>
            </w:r>
          </w:p>
        </w:tc>
        <w:tc>
          <w:tcPr>
            <w:tcW w:type="dxa" w:w="2160"/>
          </w:tcPr>
          <w:p>
            <w:r>
              <w:t>3 последние версии конфигурации</w:t>
            </w:r>
          </w:p>
        </w:tc>
      </w:tr>
      <w:tr>
        <w:tc>
          <w:tcPr>
            <w:tcW w:type="dxa" w:w="2160"/>
          </w:tcPr>
          <w:p>
            <w:r>
              <w:t>Bitrix24</w:t>
            </w:r>
          </w:p>
        </w:tc>
        <w:tc>
          <w:tcPr>
            <w:tcW w:type="dxa" w:w="2160"/>
          </w:tcPr>
          <w:p>
            <w:r>
              <w:t>сделки, контакты, переписка с клиентами</w:t>
            </w:r>
          </w:p>
        </w:tc>
        <w:tc>
          <w:tcPr>
            <w:tcW w:type="dxa" w:w="2160"/>
          </w:tcPr>
          <w:p>
            <w:r>
              <w:t>резервирование на стороне поставщика, ежемесячная выгрузка сделок на файловый сервер</w:t>
            </w:r>
          </w:p>
        </w:tc>
        <w:tc>
          <w:tcPr>
            <w:tcW w:type="dxa" w:w="2160"/>
          </w:tcPr>
          <w:p>
            <w:r>
              <w:t>3 года</w:t>
            </w:r>
          </w:p>
        </w:tc>
      </w:tr>
      <w:tr>
        <w:tc>
          <w:tcPr>
            <w:tcW w:type="dxa" w:w="2160"/>
          </w:tcPr>
          <w:p>
            <w:r>
              <w:t>СКУД</w:t>
            </w:r>
          </w:p>
        </w:tc>
        <w:tc>
          <w:tcPr>
            <w:tcW w:type="dxa" w:w="2160"/>
          </w:tcPr>
          <w:p>
            <w:r>
              <w:t>база пропусков и проходов по площадкам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1 год</w:t>
            </w:r>
          </w:p>
        </w:tc>
      </w:tr>
      <w:tr>
        <w:tc>
          <w:tcPr>
            <w:tcW w:type="dxa" w:w="2160"/>
          </w:tcPr>
          <w:p>
            <w:r>
              <w:t>Служба поддержки (заявки)</w:t>
            </w:r>
          </w:p>
        </w:tc>
        <w:tc>
          <w:tcPr>
            <w:tcW w:type="dxa" w:w="2160"/>
          </w:tcPr>
          <w:p>
            <w:r>
              <w:t>база заявок и инцидентов</w:t>
            </w:r>
          </w:p>
        </w:tc>
        <w:tc>
          <w:tcPr>
            <w:tcW w:type="dxa" w:w="2160"/>
          </w:tcPr>
          <w:p>
            <w:r>
              <w:t>ежедневно</w:t>
            </w:r>
          </w:p>
        </w:tc>
        <w:tc>
          <w:tcPr>
            <w:tcW w:type="dxa" w:w="2160"/>
          </w:tcPr>
          <w:p>
            <w:r>
              <w:t>3 года (для отчётности по SLA)</w:t>
            </w:r>
          </w:p>
        </w:tc>
      </w:tr>
      <w:tr>
        <w:tc>
          <w:tcPr>
            <w:tcW w:type="dxa" w:w="2160"/>
          </w:tcPr>
          <w:p>
            <w:r>
              <w:t>Лабораторная система КИП и измерений</w:t>
            </w:r>
          </w:p>
        </w:tc>
        <w:tc>
          <w:tcPr>
            <w:tcW w:type="dxa" w:w="2160"/>
          </w:tcPr>
          <w:p>
            <w:r>
              <w:t>протоколы измерений, данные поверки средств измерений</w:t>
            </w:r>
          </w:p>
        </w:tc>
        <w:tc>
          <w:tcPr>
            <w:tcW w:type="dxa" w:w="2160"/>
          </w:tcPr>
          <w:p>
            <w:r>
              <w:t>еженедельно</w:t>
            </w:r>
          </w:p>
        </w:tc>
        <w:tc>
          <w:tcPr>
            <w:tcW w:type="dxa" w:w="2160"/>
          </w:tcPr>
          <w:p>
            <w:r>
              <w:t>5 лет (требования метрологического учёта)</w:t>
            </w:r>
          </w:p>
        </w:tc>
      </w:tr>
    </w:tbl>
    <w:p>
      <w:pPr>
        <w:pStyle w:val="Heading2"/>
      </w:pPr>
      <w:r>
        <w:t>4. Место хранения резервных копий</w:t>
      </w:r>
    </w:p>
    <w:p>
      <w:r>
        <w:t>4.1. Резервные копии систем, размещённых на серверах предприятия (1С:ERP, 1С:Бухгалтерия, файловый сервер, СКУД, служба поддержки, лабораторная система КИП и измерений), хранятся на выделенном сервере резервного копирования, физически отделённом от основного сервера, а также на внешнем носителе, обновляемом не реже одного раза в неделю.</w:t>
      </w:r>
    </w:p>
    <w:p>
      <w:r>
        <w:t>4.2. Резервные копии систем, предоставляемых как облачный сервис поставщика (ЭДО Диадок, Bitrix24), в части, резервируемой поставщиком, хранятся на стороне поставщика в соответствии с условиями договора на использование сервиса; выгрузка на файловый сервер предприятия обеспечивает независимую копию на случай недоступности сервиса поставщика.</w:t>
      </w:r>
    </w:p>
    <w:p>
      <w:r>
        <w:t>4.3. Внешний носитель с резервными копиями хранится в помещении, отдельном от помещения с основным сервером, для снижения риска одновременной утраты основных данных и резервных копий.</w:t>
      </w:r>
    </w:p>
    <w:p>
      <w:pPr>
        <w:pStyle w:val="Heading2"/>
      </w:pPr>
      <w:r>
        <w:t>5. Проверка восстановления</w:t>
      </w:r>
    </w:p>
    <w:p>
      <w:r>
        <w:t>5.1. Проверка восстановления из резервной копии для систем, отнесённых реестром информационных систем к критичным (1С:ERP, 1С:Бухгалтерия, ЭДО Диадок, VPN), проводится не реже одного раза в квартал.</w:t>
      </w:r>
    </w:p>
    <w:p>
      <w:r>
        <w:t>5.2. Проверка восстановления для систем, не отнесённых к критичным, проводится не реже одного раза в год.</w:t>
      </w:r>
    </w:p>
    <w:p>
      <w:r>
        <w:t>5.3. Проверку восстановления проводит системный администратор; результат проверки фиксируется с указанием даты, проверенной системы и итога (успешно / выявлены замечания).</w:t>
      </w:r>
    </w:p>
    <w:p>
      <w:r>
        <w:t>5.4. При выявлении в ходе проверки непригодности резервной копии к восстановлению системный администратор незамедлительно устраняет причину и уведомляет руководителя ИТ.</w:t>
      </w:r>
    </w:p>
    <w:p>
      <w:pPr>
        <w:pStyle w:val="Heading2"/>
      </w:pPr>
      <w:r>
        <w:t>6. Ответственность</w:t>
      </w:r>
    </w:p>
    <w:p>
      <w:r>
        <w:t>6.1. Ответственность за выполнение резервного копирования в соответствии с настоящей политикой несёт системный администратор.</w:t>
      </w:r>
    </w:p>
    <w:p>
      <w:r>
        <w:t>6.2. Ответственность за проведение плановых проверок восстановления несёт системный администратор.</w:t>
      </w:r>
    </w:p>
    <w:p>
      <w:r>
        <w:t>6.3. Ответственность за организацию резервного копирования в целом и контроль исполнения настоящей политики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