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01.08.2025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01.09.2025</w:t>
      </w:r>
    </w:p>
    <w:p>
      <w:r>
        <w:rPr>
          <w:i/>
        </w:rPr>
        <w:t>Для служебного пользования</w:t>
      </w:r>
    </w:p>
    <w:p>
      <w:pPr>
        <w:pStyle w:val="Title"/>
      </w:pPr>
      <w:r>
        <w:t>Политика информационной безопасности</w:t>
      </w:r>
    </w:p>
    <w:p>
      <w:pPr>
        <w:pStyle w:val="Heading2"/>
      </w:pPr>
      <w:r>
        <w:t>1. Общие положения, цели и термины</w:t>
      </w:r>
    </w:p>
    <w:p>
      <w:r>
        <w:t>1.1. Настоящая политика информационной безопасности (далее — политика) устанавливает цели, принципы и порядок обеспечения информационной безопасности ГК «Родос-Деталь» (далее — общество) и является основным документом ИТ-службы в области защиты информации.</w:t>
      </w:r>
    </w:p>
    <w:p>
      <w:r>
        <w:t>1.2. Целями политики являются: обеспечение конфиденциальности, целостности и доступности информации общества; защита информационных систем от несанкционированного доступа, утраты и повреждения данных; снижение риска остановки производственной и коммерческой деятельности вследствие инцидентов информационной безопасности; выполнение требований законодательства Российской Федерации в области защиты информации и персональных данных.</w:t>
      </w:r>
    </w:p>
    <w:p>
      <w:r>
        <w:t>1.3. Политика основана на принципе минимально необходимого доступа: сотруднику предоставляется доступ только к тем информационным системам и данным, которые необходимы для исполнения его должностных обязанностей, в объёме, установленном ролевой моделью доступа (ИТ-РБАК-МОДЕЛЬ).</w:t>
      </w:r>
    </w:p>
    <w:p>
      <w:r>
        <w:t>1.4. Термины и сокращения, используемые в настоящей политике: ИБ — информационная безопасность; ДСП — гриф «для служебного пользования»; ИС — информационная система; инцидент ИБ — событие, приведшее либо способное привести к нарушению конфиденциальности, целостности или доступности информации; периметр — граница сети общества, отделяющая её от внешних сетей.</w:t>
      </w:r>
    </w:p>
    <w:p>
      <w:r>
        <w:t>1.5. Требования настоящей политики обязательны для всех работников общества независимо от занимаемой должности, а также для представителей подрядчиков и иных третьих лиц, которым предоставлен доступ к информационным системам общества.</w:t>
      </w:r>
    </w:p>
    <w:p>
      <w:pPr>
        <w:pStyle w:val="Heading2"/>
      </w:pPr>
      <w:r>
        <w:t>2. Область действия</w:t>
      </w:r>
    </w:p>
    <w:p>
      <w:r>
        <w:t>2.1. Политика распространяется на все информационные системы, учтённые в реестре информационных систем (ИТ-РЕЕСТР-СИСТЕМ), на все рабочие места, включая цеховые терминалы, и на все три площадки общества — Ковровскую, Пермскую и Тольяттинскую.</w:t>
      </w:r>
    </w:p>
    <w:p>
      <w:r>
        <w:t>2.2. Политика применяется в дополнение к иным нормативным документам предприятия по вопросам информационной безопасности: парольной политике (ИТ-ПОЛ-ПАРОЛЬ), порядку антивирусной защиты (ИТ-ПОЛ-ANTIVIRUS), регламенту удалённого доступа (ИТ-РЕГЛ-УДАЛЕНКА), политике резервного копирования (ИТ-ПОЛ-BACKUP) и плану восстановления работоспособности информационных систем (ИТ-ПЛАН-DRP). При расхождении общих положений настоящей политики и специальных требований перечисленных документов применяются специальные требования.</w:t>
      </w:r>
    </w:p>
    <w:p>
      <w:r>
        <w:t>2.3. Действие политики не распространяется на вопросы охраны труда и промышленной безопасности, которые регулируются отдельными документами службы охраны труда.</w:t>
      </w:r>
    </w:p>
    <w:p>
      <w:pPr>
        <w:pStyle w:val="Heading2"/>
      </w:pPr>
      <w:r>
        <w:t>3. Классификация информации</w:t>
      </w:r>
    </w:p>
    <w:p>
      <w:r>
        <w:t>3.1. Вся информация общества по степени конфиденциальности делится на три категории: открытая, внутренняя и информация с грифом «для служебного пользования» (ДСП).</w:t>
      </w:r>
    </w:p>
    <w:p>
      <w:r>
        <w:t>3.2. Открытая информация — сведения, предназначенные для неограниченного распространения (публичные материалы, общедоступные сведения о продукции общества).</w:t>
      </w:r>
    </w:p>
    <w:p>
      <w:r>
        <w:t>3.3. Внутренняя информация — сведения, предназначенные для использования работниками общества и не подлежащие передаче третьим лицам без служебной необходимости, но не отнесённые к сведениям, составляющим коммерческую тайну.</w:t>
      </w:r>
    </w:p>
    <w:p>
      <w:r>
        <w:t>3.4. Информация с грифом ДСП — сведения, составляющие коммерческую тайну общества в соответствии с положением о коммерческой тайне (ПОЛ-КТ-001), а также иные сведения, ограничение доступа к которым установлено законодательством (включая персональные данные) или решением генерального директора.</w:t>
      </w:r>
    </w:p>
    <w:p>
      <w:r>
        <w:t>3.4.1. Перечень сведений, составляющих коммерческую тайну, определён положением ПОЛ-КТ-001, п. 2.1; настоящая политика не изменяет и не дополняет этот перечень.</w:t>
      </w:r>
    </w:p>
    <w:p>
      <w:r>
        <w:t>3.4.2. Документы и информационные системы, содержащие информацию с грифом ДСП, маркируются и защищаются в порядке, установленном положением ПОЛ-КТ-001, п. 3.2–3.3.2, с дополнительными техническими мерами, установленными разделом 5 настоящей политики.</w:t>
      </w:r>
    </w:p>
    <w:p>
      <w:r>
        <w:t>3.5. Каждый документ и информационная система относятся к одной из категорий пункта 3.1 их владельцем при создании документа или вводе системы в эксплуатацию; понижение категории допускается только по решению генерального директора.</w:t>
      </w:r>
    </w:p>
    <w:p>
      <w:pPr>
        <w:pStyle w:val="Heading2"/>
      </w:pPr>
      <w:r>
        <w:t>4. Управление доступом</w:t>
      </w:r>
    </w:p>
    <w:p>
      <w:r>
        <w:t>4.1. Доступ к информационным системам предоставляется, изменяется и отзывается исключительно в порядке, установленном регламентом согласования и выдачи доступа (ИТ-РЕГЛ-ДОСТУП), на основании ролевой модели (ИТ-РБАК-МОДЕЛЬ) и матрицы доступа (ИТ-РБАК-МАТРИЦА).</w:t>
      </w:r>
    </w:p>
    <w:p>
      <w:r>
        <w:t>4.2. Персональные исключения из установленного ролью объёма доступа не допускаются; принцип закреплён ролевой моделью доступа (ИТ-РБАК-МОДЕЛЬ, п. 2.3).</w:t>
      </w:r>
    </w:p>
    <w:p>
      <w:r>
        <w:t>4.2.1. Запрос доступа сверх установленного ролью объёма рассматривается как предложение о пересмотре роли и согласуется в порядке ИТ-РБАК-МОДЕЛЬ, п. 2.4, а не как разовое исключение.</w:t>
      </w:r>
    </w:p>
    <w:p>
      <w:r>
        <w:t>4.2.2. Нарушение принципа пункта 4.2 является нарушением настоящей политики независимо от должности инициатора запроса.</w:t>
      </w:r>
    </w:p>
    <w:p>
      <w:r>
        <w:t>4.3. Привилегированные учётные записи (с правами администрирования информационных систем) предоставляются в порядке, установленном регламентом ИТ-РЕГЛ-ДОСТУП, разделом 7, и подлежат дополнительному контролю руководителя ИТ.</w:t>
      </w:r>
    </w:p>
    <w:p>
      <w:r>
        <w:t>4.4. Доступ сотрудника, уволенного или переведённого на другую должность, приводится в соответствие с чек-листом отзыва доступов при увольнении (ИТ-ЧК-OFFBOARD) или регламентом изменения доступов при переводе (ИТ-РЕГЛ-ПЕРЕВОД) не позднее сроков, установленных этими документами.</w:t>
      </w:r>
    </w:p>
    <w:p>
      <w:pPr>
        <w:pStyle w:val="Heading2"/>
      </w:pPr>
      <w:r>
        <w:t>5. Защита рабочих мест</w:t>
      </w:r>
    </w:p>
    <w:p>
      <w:r>
        <w:t>5.1. Каждое рабочее место (рабочая станция, ноутбук, цеховой терминал) защищается антивирусным программным обеспечением, устанавливаемым и обновляемым в порядке, установленном ИТ-ПОЛ-ANTIVIRUS.</w:t>
      </w:r>
    </w:p>
    <w:p>
      <w:r>
        <w:t>5.2. Вход в систему на рабочем месте защищается персональным паролем в соответствии с требованиями парольной политики (ИТ-ПОЛ-ПАРОЛЬ); использование чужой учётной записи запрещается.</w:t>
      </w:r>
    </w:p>
    <w:p>
      <w:r>
        <w:t>5.3. Экран рабочей станции блокируется автоматически при отсутствии активности пользователя более 10 минут; сотрудник обязан блокировать экран вручную при каждом кратковременном отходе от рабочего места.</w:t>
      </w:r>
    </w:p>
    <w:p>
      <w:r>
        <w:t>5.4. Установка и обновление программного обеспечения на рабочем месте производится только системным администратором в порядке, установленном ИТ-РЕГЛ-УСТАНОВКА-ПО; самостоятельная установка программного обеспечения сотрудником запрещается.</w:t>
      </w:r>
    </w:p>
    <w:p>
      <w:r>
        <w:t>5.5. На рабочем месте допускается использование только программного обеспечения, включённого в реестр разрешённого программного обеспечения (ИТ-РЕЕСТР-ПО).</w:t>
      </w:r>
    </w:p>
    <w:p>
      <w:r>
        <w:t>5.6. Документы с грифом ДСП, выводимые на печать, забираются из принтера немедленно; оставление таких документов в лотке принтера без присмотра запрещается.</w:t>
      </w:r>
    </w:p>
    <w:p>
      <w:r>
        <w:t>5.7. Рабочее место с открытым доступом к информации с грифом ДСП не оставляется без присмотра в присутствии посторонних лиц, включая представителей подрядчиков.</w:t>
      </w:r>
    </w:p>
    <w:p>
      <w:pPr>
        <w:pStyle w:val="Heading2"/>
      </w:pPr>
      <w:r>
        <w:t>6. Сеть и периметр</w:t>
      </w:r>
    </w:p>
    <w:p>
      <w:r>
        <w:t>6.1. Общие требования к периметру</w:t>
      </w:r>
    </w:p>
    <w:p>
      <w:r>
        <w:t>6.1.1. Сеть общества на каждой площадке отделена от внешних сетей средствами защиты периметра, эксплуатируемыми ИТ-службой.</w:t>
      </w:r>
    </w:p>
    <w:p>
      <w:r>
        <w:t>6.1.2. Подключение к сети общества оборудования, не учтённого и не согласованного ИТ-службой, запрещается независимо от цели подключения.</w:t>
      </w:r>
    </w:p>
    <w:p>
      <w:r>
        <w:t>6.2. Сегментация сети</w:t>
      </w:r>
    </w:p>
    <w:p>
      <w:r>
        <w:t>6.2.1. Сеть общества разделена на сегменты по функциональному назначению: офисный сегмент, производственный сегмент (цеховые терминалы и оборудование с числовым программным управлением), сегмент серверов информационных систем.</w:t>
      </w:r>
    </w:p>
    <w:p>
      <w:r>
        <w:t>6.2.2. Прямой доступ из офисного сегмента в производственный сегмент ограничивается технически до объёма, необходимого для работы интеграций, учтённых в реестре интеграций (ИТ-РЕЕСТР-ИНТЕГР).</w:t>
      </w:r>
    </w:p>
    <w:p>
      <w:r>
        <w:t>6.3. Удалённый доступ</w:t>
      </w:r>
    </w:p>
    <w:p>
      <w:r>
        <w:t>6.3.1. Подключение к сети общества извне периметра допускается только через удалённый доступ (VPN) с двухфакторной аутентификацией в порядке, установленном регламентом ИТ-РЕГЛ-УДАЛЕНКА.</w:t>
      </w:r>
    </w:p>
    <w:p>
      <w:r>
        <w:t>6.3.2. Иные способы подключения к сети общества извне периметра, включая переадресацию портов и неучтённые средства удалённого доступа к рабочей станции, запрещаются в соответствии с реестром запрещённого программного обеспечения (ИТ-РЕЕСТР-ПО, п. 4.3).</w:t>
      </w:r>
    </w:p>
    <w:p>
      <w:r>
        <w:t>6.4. Журналирование событий безопасности</w:t>
      </w:r>
    </w:p>
    <w:p>
      <w:r>
        <w:t>6.4.1. Средства защиты периметра, серверы информационных систем и служба контроля доступа (СКУД) ведут журналы событий безопасности: попытки входа, изменения прав доступа, срабатывания антивирусной защиты, подключения по удалённому доступу и проходы по СКУД.</w:t>
      </w:r>
    </w:p>
    <w:p>
      <w:r>
        <w:t>6.4.2. Срок хранения журналов событий безопасности составляет не менее 12 месяцев с даты события; по истечении указанного срока журналы подлежат архивированию либо удалению по решению руководителя ИТ.</w:t>
      </w:r>
    </w:p>
    <w:p>
      <w:r>
        <w:t>6.4.3. Журналы событий безопасности проверяются системным администратором не реже одного раза в месяц на предмет признаков инцидентов информационной безопасности; результат проверки докладывается руководителю ИТ.</w:t>
      </w:r>
    </w:p>
    <w:p>
      <w:r>
        <w:t>6.4.4. Доступ к журналам событий безопасности предоставляется только руководителю ИТ и системному администратору; изменение или удаление записей журнала до истечения срока хранения, установленного пунктом 6.4.2, запрещается.</w:t>
      </w:r>
    </w:p>
    <w:p>
      <w:pPr>
        <w:pStyle w:val="Heading2"/>
      </w:pPr>
      <w:r>
        <w:t>7. Съёмные носители</w:t>
      </w:r>
    </w:p>
    <w:p>
      <w:r>
        <w:t>7.1. Подключение съёмных носителей к рабочим станциям и цеховым терминалам допускается только сотрудникам, которым такое право предоставлено в порядке, установленном ИТ-ПОЛ-ANTIVIRUS, п. 6.1.</w:t>
      </w:r>
    </w:p>
    <w:p>
      <w:r>
        <w:t>7.2. Каждый съёмный носитель проверяется антивирусным программным обеспечением при подключении до предоставления доступа к его содержимому.</w:t>
      </w:r>
    </w:p>
    <w:p>
      <w:r>
        <w:t>7.3. Перенос информации с грифом ДСП на съёмный носитель допускается только с письменного разрешения, предусмотренного положением ПОЛ-КТ-001, п. 3.3.1.</w:t>
      </w:r>
    </w:p>
    <w:p>
      <w:r>
        <w:t>7.4. Утрата съёмного носителя, содержавшего информацию с грифом ДСП или персональные данные, рассматривается как инцидент информационной безопасности и подлежит немедленному сообщению в порядке раздела 9 настоящей политики.</w:t>
      </w:r>
    </w:p>
    <w:p>
      <w:pPr>
        <w:pStyle w:val="Heading2"/>
      </w:pPr>
      <w:r>
        <w:t>8. Работа с подрядчиками</w:t>
      </w:r>
    </w:p>
    <w:p>
      <w:r>
        <w:t>8.1. Предоставление доступа представителю подрядчика к информационным системам или сети общества допускается только на основании договора, содержащего условие о конфиденциальности, либо отдельного соглашения о неразглашении, в порядке, установленном положением ПОЛ-КТ-001, п. 4.3.</w:t>
      </w:r>
    </w:p>
    <w:p>
      <w:r>
        <w:t>8.2. Доступ представителя подрядчика предоставляется как временный доступ в порядке, установленном регламентом ИТ-РЕГЛ-ДОСТУП, разделом 6, на срок выполнения работ, но не более срока действия договора.</w:t>
      </w:r>
    </w:p>
    <w:p>
      <w:r>
        <w:t>8.3. Подключение оборудования подрядчика к сети общества (диагностическое оборудование, ноутбуки специалистов при пусконаладочных работах) согласуется системным администратором заблаговременно и допускается только через выделенный, изолированный от прочей сети сегмент.</w:t>
      </w:r>
    </w:p>
    <w:p>
      <w:r>
        <w:t>8.4. По завершении работ доступ представителя подрядчика отзывается системным администратором не позднее 1 рабочего дня после окончания срока действия договора или завершения работ, в зависимости от того, что наступит раньше.</w:t>
      </w:r>
    </w:p>
    <w:p>
      <w:pPr>
        <w:pStyle w:val="Heading2"/>
      </w:pPr>
      <w:r>
        <w:t>9. Реагирование на инциденты информационной безопасности</w:t>
      </w:r>
    </w:p>
    <w:p>
      <w:r>
        <w:t>9.1. Сотрудник, обнаруживший признаки инцидента информационной безопасности (заражение вредоносным кодом, утрату носителя с информацией ДСП, компрометацию пароля, подозрительную активность в системе), немедленно сообщает об этом в службу поддержки и своему непосредственному руководителю.</w:t>
      </w:r>
    </w:p>
    <w:p>
      <w:r>
        <w:t>9.2. Системный администратор регистрирует инцидент, оценивает его масштаб и при необходимости изолирует затронутое оборудование от сети общества.</w:t>
      </w:r>
    </w:p>
    <w:p>
      <w:r>
        <w:t>9.3. Инциденты, затрагивающие критичные информационные системы или влекущие риск утраты данных с грифом ДСП, рассматриваются в порядке, установленном планом восстановления работоспособности информационных систем (ИТ-ПЛАН-DRP).</w:t>
      </w:r>
    </w:p>
    <w:p>
      <w:r>
        <w:t>9.4. По каждому инциденту, повлёкшему остановку критичной системы более чем на время, установленное соглашением об уровне обслуживания (ИТ-SLA-2026) для приоритета 1, системный администратор готовит разбор инцидента с указанием причины и мероприятий по предотвращению повторения; разбор представляется руководителю ИТ не позднее 5 рабочих дней после устранения инцидента.</w:t>
      </w:r>
    </w:p>
    <w:p>
      <w:r>
        <w:t>9.5. Об инцидентах, связанных с утечкой сведений, составляющих коммерческую тайну, или персональных данных, руководитель ИТ незамедлительно информирует генерального директора и юридический отдел.</w:t>
      </w:r>
    </w:p>
    <w:p>
      <w:pPr>
        <w:pStyle w:val="Heading2"/>
      </w:pPr>
      <w:r>
        <w:t>10. Обучение</w:t>
      </w:r>
    </w:p>
    <w:p>
      <w:r>
        <w:t>10.1. Все сотрудники проходят инструктаж по информационной безопасности при приёме на работу в порядке, установленном чек-листами подключения (ИТ-ЧК-ONBOARD и ИТ-ЧК-ONBOARD-ЦЕХ).</w:t>
      </w:r>
    </w:p>
    <w:p>
      <w:r>
        <w:t>10.2. Повторный инструктаж по информационной безопасности проводится не реже одного раза в год для всех сотрудников, имеющих доступ к информационным системам общества.</w:t>
      </w:r>
    </w:p>
    <w:p>
      <w:r>
        <w:t>10.3. Внеплановый инструктаж проводится после инцидента информационной безопасности для сотрудников подразделения, в котором он произошёл, а также при вводе новой информационной системы в эксплуатацию.</w:t>
      </w:r>
    </w:p>
    <w:p>
      <w:r>
        <w:t>10.4. Инструктаж проводит системный администратор; факт прохождения фиксируется в листе ознакомления, хранящемся в личном деле сотрудника.</w:t>
      </w:r>
    </w:p>
    <w:p>
      <w:pPr>
        <w:pStyle w:val="Heading2"/>
      </w:pPr>
      <w:r>
        <w:t>11. Ответственность</w:t>
      </w:r>
    </w:p>
    <w:p>
      <w:r>
        <w:t>11.1. Ответственность за соблюдение требований настоящей политики несёт каждый сотрудник общества в части, касающейся его рабочего места и доступа к информационным системам.</w:t>
      </w:r>
    </w:p>
    <w:p>
      <w:r>
        <w:t>11.2. Ответственность за техническую реализацию мер, установленных настоящей политикой, несёт системный администратор.</w:t>
      </w:r>
    </w:p>
    <w:p>
      <w:r>
        <w:t>11.3. Ответственность за организацию информационной безопасности общества в целом, актуализацию настоящей политики и контроль её исполнения несёт руководитель ИТ.</w:t>
      </w:r>
    </w:p>
    <w:p>
      <w:r>
        <w:t>11.4. Нарушение требований настоящей политики, повлёкшее утрату или разглашение сведений, составляющих коммерческую тайну, либо утрату персональных данных, влечёт ответственность в порядке, установленном положением ПОЛ-КТ-001, разделом 5, и законодательством Российской Федерации.</w:t>
      </w:r>
    </w:p>
    <w:p>
      <w:r>
        <w:t>11.5. Настоящая политика пересматривается не реже одного раза в год, а также внепланово — при существенном изменении состава информационных систем или по результатам разбора инцидента информационной безопасности, затронувшего критичную систему.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