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01.09.2025</w:t>
      </w:r>
    </w:p>
    <w:p>
      <w:pPr>
        <w:pStyle w:val="Title"/>
      </w:pPr>
      <w:r>
        <w:t>Парольная политика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политика устанавливает требования к паролям учётных записей информационных систем ГК «Родос-Деталь» для всех сотрудников, включая служебные и общие учётные записи.</w:t>
      </w:r>
    </w:p>
    <w:p>
      <w:r>
        <w:t>1.2. Политика обязательна для всех сотрудников, имеющих учётные записи в информационных системах предприятия, и для системного администратора как лица, настраивающего технические параметры парольной защиты.</w:t>
      </w:r>
    </w:p>
    <w:p>
      <w:r>
        <w:t>1.3. Политика применяется в дополнение к политике информационной безопасности (ИТ-ПОЛ-ИБ) и детализирует её требования к парольной защите.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Служебная учётная запись — учётная запись, используемая программным обеспечением или интеграцией для автоматической работы без непосредственного участия человека.</w:t>
      </w:r>
    </w:p>
    <w:p>
      <w:pPr>
        <w:pStyle w:val="ListBullet"/>
      </w:pPr>
      <w:r>
        <w:t>Общая учётная запись — учётная запись, используемая несколькими сотрудниками совместно (например, для общего почтового ящика подразделения).</w:t>
      </w:r>
    </w:p>
    <w:p>
      <w:pPr>
        <w:pStyle w:val="ListBullet"/>
      </w:pPr>
      <w:r>
        <w:t>Компрометация пароля — событие, при котором пароль стал известен лицу, не имеющему права им пользоваться.</w:t>
      </w:r>
    </w:p>
    <w:p>
      <w:pPr>
        <w:pStyle w:val="Heading2"/>
      </w:pPr>
      <w:r>
        <w:t>3. Требования к длине и сложности пароля</w:t>
      </w:r>
    </w:p>
    <w:p>
      <w:r>
        <w:t>3.1. Минимальная длина пароля личной учётной записи — 10 символов.</w:t>
      </w:r>
    </w:p>
    <w:p>
      <w:r>
        <w:t>3.2. Минимальная длина пароля привилегированной, служебной и общей учётной записи — 14 символов.</w:t>
      </w:r>
    </w:p>
    <w:p>
      <w:r>
        <w:t>3.3. Пароль должен содержать символы не менее трёх из четырёх групп: заглавные латинские буквы, строчные латинские буквы, цифры, специальные символы.</w:t>
      </w:r>
    </w:p>
    <w:p>
      <w:r>
        <w:t>3.4. Запрещается использование в пароле имени учётной записи, фамилии сотрудника, названия предприятия и последовательных или повторяющихся символов (например, «12345», «aaaaaa»).</w:t>
      </w:r>
    </w:p>
    <w:p>
      <w:pPr>
        <w:pStyle w:val="Heading2"/>
      </w:pPr>
      <w:r>
        <w:t>4. Срок действия и повторное использование</w:t>
      </w:r>
    </w:p>
    <w:p>
      <w:r>
        <w:t>4.1. Срок действия пароля личной учётной записи — 90 календарных дней, по истечении которых система требует его смены.</w:t>
      </w:r>
    </w:p>
    <w:p>
      <w:r>
        <w:t>4.2. Срок действия пароля привилегированной учётной записи — 60 календарных дней.</w:t>
      </w:r>
    </w:p>
    <w:p>
      <w:r>
        <w:t>4.3. Повторное использование любого из 10 последних паролей учётной записи запрещается; данное ограничение обеспечивается техническими средствами системы, где это технически возможно.</w:t>
      </w:r>
    </w:p>
    <w:p>
      <w:r>
        <w:t>4.4. Смена пароля вне планового срока обязательна при подозрении на компрометацию, немедленно после сообщения о компрометации в службу поддержки.</w:t>
      </w:r>
    </w:p>
    <w:p>
      <w:pPr>
        <w:pStyle w:val="Heading2"/>
      </w:pPr>
      <w:r>
        <w:t>5. Блокировка при неудачных попытках входа</w:t>
      </w:r>
    </w:p>
    <w:p>
      <w:r>
        <w:t>5.1. Учётная запись блокируется автоматически после 5 последовательных неудачных попыток входа.</w:t>
      </w:r>
    </w:p>
    <w:p>
      <w:r>
        <w:t>5.2. Разблокировка учётной записи производится системным администратором после подтверждения личности сотрудника.</w:t>
      </w:r>
    </w:p>
    <w:p>
      <w:pPr>
        <w:pStyle w:val="Heading2"/>
      </w:pPr>
      <w:r>
        <w:t>6. Хранение паролей и парольные менеджеры</w:t>
      </w:r>
    </w:p>
    <w:p>
      <w:r>
        <w:t>6.1. Запрещается хранение пароля в открытом виде на бумажном носителе, в текстовом файле на рабочей станции или в незашифрованном виде в любом электронном документе.</w:t>
      </w:r>
    </w:p>
    <w:p>
      <w:r>
        <w:t>6.2. Запрещается сохранение пароля в браузере для входа в системы, содержащие сведения, составляющие коммерческую тайну, или персональные данные.</w:t>
      </w:r>
    </w:p>
    <w:p>
      <w:r>
        <w:t>6.3. Для хранения паролей допускается использование парольного менеджера, согласованного и установленного системным администратором в порядке, установленном регламентом ИТ-РЕГЛ-УСТАНОВКА-ПО; использование несогласованных парольных менеджеров запрещается.</w:t>
      </w:r>
    </w:p>
    <w:p>
      <w:pPr>
        <w:pStyle w:val="Heading2"/>
      </w:pPr>
      <w:r>
        <w:t>7. Служебные и общие учётные записи</w:t>
      </w:r>
    </w:p>
    <w:p>
      <w:r>
        <w:t>7.1. Пароли служебных и общих учётных записей известны ограниченному кругу лиц, определяемому руководителем ИТ, и хранятся в порядке, установленном пунктом 6 настоящей политики.</w:t>
      </w:r>
    </w:p>
    <w:p>
      <w:r>
        <w:t>7.2. Пароли служебных и общих учётных записей, к которым имел доступ уволенный или переведённый сотрудник, меняются не позднее срока, установленного чек-листом отзыва доступов при увольнении (ИТ-ЧК-OFFBOARD) или регламентом изменения доступов при переводе (ИТ-РЕГЛ-ПЕРЕВОД).</w:t>
      </w:r>
    </w:p>
    <w:p>
      <w:r>
        <w:t>7.3. Пароли привилегированных учётных записей, не привязанных к конкретному сотруднику, меняются не реже одного раза в квартал в порядке, установленном регламентом согласования и выдачи доступа (ИТ-РЕГЛ-ДОСТУП, п. 7.2).</w:t>
      </w:r>
    </w:p>
    <w:p>
      <w:pPr>
        <w:pStyle w:val="Heading2"/>
      </w:pPr>
      <w:r>
        <w:t>8. Ответственность</w:t>
      </w:r>
    </w:p>
    <w:p>
      <w:r>
        <w:t>8.1. Ответственность за соблюдение требований к паролю личной учётной записи несёт сотрудник, которому она принадлежит.</w:t>
      </w:r>
    </w:p>
    <w:p>
      <w:r>
        <w:t>8.2. Ответственность за техническую настройку параметров парольной защиты в информационных системах несёт системный администратор.</w:t>
      </w:r>
    </w:p>
    <w:p>
      <w:r>
        <w:t>8.3. Ответственность за организацию парольной защиты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