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20.01.2026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01.02.2026</w:t>
      </w:r>
    </w:p>
    <w:p>
      <w:pPr>
        <w:pStyle w:val="Title"/>
      </w:pPr>
      <w:r>
        <w:t>Матрица доступа к системам</w:t>
      </w:r>
    </w:p>
    <w:p>
      <w:pPr>
        <w:pStyle w:val="Heading2"/>
      </w:pPr>
      <w:r>
        <w:t>1. Назначение</w:t>
      </w:r>
    </w:p>
    <w:p>
      <w:r>
        <w:t>1.1. Настоящая матрица является приложением к ролевой модели доступа к информационным системам (ИТ-РБАК-МОДЕЛЬ) и содержит полный перечень уровней доступа каждой роли к каждой информационной системе, учтённой в реестре информационных систем (ИТ-РЕЕСТР-СИСТЕМ).</w:t>
      </w:r>
    </w:p>
    <w:p>
      <w:r>
        <w:t>1.2. Значения ячеек: «чтение», «изменение», «администрирование», «нет» — согласно определениям уровней доступа, приведённым в ИТ-РБАК-МОДЕЛЬ, п. 3.</w:t>
      </w:r>
    </w:p>
    <w:p>
      <w:r>
        <w:t>1.3. При выдаче и отзыве конкретного доступа сотруднику применяется регламент согласования и выдачи доступа (ИТ-РЕГЛ-ДОСТУП); настоящая матрица определяет допустимый уровень, а не факт его предоставления конкретному сотруднику.</w:t>
      </w:r>
    </w:p>
    <w:p>
      <w:pPr>
        <w:pStyle w:val="Heading2"/>
      </w:pPr>
      <w:r>
        <w:t>2. Условные обозначения систем</w:t>
      </w:r>
    </w:p>
    <w:p>
      <w:r>
        <w:t>2.1. В матрице раздела 3 использованы краткие названия систем: 1С:ERP — 1С:ERP Управление предприятием; 1С:Бухгалтерия — 1С:Бухгалтерия предприятия; ЭДО — ЭДО (Диадок); Почта — корпоративная почта (Exchange); Файл-сервер — файловый сервер \\rodos-fs; VPN — удалённый доступ (OpenVPN); Bitrix24 — Bitrix24; СКУД — система контроля доступа; Helpdesk — служба поддержки (заявки); КИП — лабораторная система КИП и измерений.</w:t>
      </w:r>
    </w:p>
    <w:p>
      <w:pPr>
        <w:pStyle w:val="Heading2"/>
      </w:pPr>
      <w:r>
        <w:t>3. Матрица доступа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Роль</w:t>
            </w:r>
          </w:p>
        </w:tc>
        <w:tc>
          <w:tcPr>
            <w:tcW w:type="dxa" w:w="785"/>
          </w:tcPr>
          <w:p>
            <w:r>
              <w:t>1С:ERP</w:t>
            </w:r>
          </w:p>
        </w:tc>
        <w:tc>
          <w:tcPr>
            <w:tcW w:type="dxa" w:w="785"/>
          </w:tcPr>
          <w:p>
            <w:r>
              <w:t>1С:Бухгалтерия</w:t>
            </w:r>
          </w:p>
        </w:tc>
        <w:tc>
          <w:tcPr>
            <w:tcW w:type="dxa" w:w="785"/>
          </w:tcPr>
          <w:p>
            <w:r>
              <w:t>ЭДО</w:t>
            </w:r>
          </w:p>
        </w:tc>
        <w:tc>
          <w:tcPr>
            <w:tcW w:type="dxa" w:w="785"/>
          </w:tcPr>
          <w:p>
            <w:r>
              <w:t>Почта</w:t>
            </w:r>
          </w:p>
        </w:tc>
        <w:tc>
          <w:tcPr>
            <w:tcW w:type="dxa" w:w="785"/>
          </w:tcPr>
          <w:p>
            <w:r>
              <w:t>Файл-сервер</w:t>
            </w:r>
          </w:p>
        </w:tc>
        <w:tc>
          <w:tcPr>
            <w:tcW w:type="dxa" w:w="785"/>
          </w:tcPr>
          <w:p>
            <w:r>
              <w:t>VPN</w:t>
            </w:r>
          </w:p>
        </w:tc>
        <w:tc>
          <w:tcPr>
            <w:tcW w:type="dxa" w:w="785"/>
          </w:tcPr>
          <w:p>
            <w:r>
              <w:t>Bitrix24</w:t>
            </w:r>
          </w:p>
        </w:tc>
        <w:tc>
          <w:tcPr>
            <w:tcW w:type="dxa" w:w="785"/>
          </w:tcPr>
          <w:p>
            <w:r>
              <w:t>СКУД</w:t>
            </w:r>
          </w:p>
        </w:tc>
        <w:tc>
          <w:tcPr>
            <w:tcW w:type="dxa" w:w="785"/>
          </w:tcPr>
          <w:p>
            <w:r>
              <w:t>Helpdesk</w:t>
            </w:r>
          </w:p>
        </w:tc>
        <w:tc>
          <w:tcPr>
            <w:tcW w:type="dxa" w:w="785"/>
          </w:tcPr>
          <w:p>
            <w:r>
              <w:t>КИП</w:t>
            </w:r>
          </w:p>
        </w:tc>
      </w:tr>
      <w:tr>
        <w:tc>
          <w:tcPr>
            <w:tcW w:type="dxa" w:w="785"/>
          </w:tcPr>
          <w:p>
            <w:r>
              <w:t>Генеральный директор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Финансовый директор</w:t>
            </w:r>
          </w:p>
        </w:tc>
        <w:tc>
          <w:tcPr>
            <w:tcW w:type="dxa" w:w="785"/>
          </w:tcPr>
          <w:p>
            <w:r>
              <w:t>чтение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Главный бухгалтер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Бухгалтер по расчётам с контрагентами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Казначей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Коммерческий директор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Менеджер по продажам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Инженер по продажам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Главный технолог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Инженер-технолог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Начальник цеха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Мастер участка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Начальник ОТК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</w:tr>
      <w:tr>
        <w:tc>
          <w:tcPr>
            <w:tcW w:type="dxa" w:w="785"/>
          </w:tcPr>
          <w:p>
            <w:r>
              <w:t>Контролёр ОТК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</w:tr>
      <w:tr>
        <w:tc>
          <w:tcPr>
            <w:tcW w:type="dxa" w:w="785"/>
          </w:tcPr>
          <w:p>
            <w:r>
              <w:t>Главный механик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Начальник отдела снабжения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Руководитель ИТ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чтение</w:t>
            </w:r>
          </w:p>
        </w:tc>
      </w:tr>
      <w:tr>
        <w:tc>
          <w:tcPr>
            <w:tcW w:type="dxa" w:w="785"/>
          </w:tcPr>
          <w:p>
            <w:r>
              <w:t>Системный администратор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администрирование</w:t>
            </w:r>
          </w:p>
        </w:tc>
        <w:tc>
          <w:tcPr>
            <w:tcW w:type="dxa" w:w="785"/>
          </w:tcPr>
          <w:p>
            <w:r>
              <w:t>чтение</w:t>
            </w:r>
          </w:p>
        </w:tc>
      </w:tr>
      <w:tr>
        <w:tc>
          <w:tcPr>
            <w:tcW w:type="dxa" w:w="785"/>
          </w:tcPr>
          <w:p>
            <w:r>
              <w:t>Инженер по охране труда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  <w:tr>
        <w:tc>
          <w:tcPr>
            <w:tcW w:type="dxa" w:w="785"/>
          </w:tcPr>
          <w:p>
            <w:r>
              <w:t>Начальник склада готовой продукции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  <w:tc>
          <w:tcPr>
            <w:tcW w:type="dxa" w:w="785"/>
          </w:tcPr>
          <w:p>
            <w:r>
              <w:t>изменение</w:t>
            </w:r>
          </w:p>
        </w:tc>
        <w:tc>
          <w:tcPr>
            <w:tcW w:type="dxa" w:w="785"/>
          </w:tcPr>
          <w:p>
            <w:r>
              <w:t>нет</w:t>
            </w:r>
          </w:p>
        </w:tc>
      </w:tr>
    </w:tbl>
    <w:p>
      <w:pPr>
        <w:pStyle w:val="Heading2"/>
      </w:pPr>
      <w:r>
        <w:t>4. Пояснения к отдельным системам</w:t>
      </w:r>
    </w:p>
    <w:p>
      <w:r>
        <w:t>4.1. Доступ к почте (Exchange) уровня «изменение» предоставляется всем ролям без исключения, поскольку почтовый ящик — обязательный атрибут учётной записи любого сотрудника.</w:t>
      </w:r>
    </w:p>
    <w:p>
      <w:r>
        <w:t>4.2. Доступ к файловому серверу \\rodos-fs уровня «изменение» предоставляется всем ролям в объёме рабочей группы своего подразделения; общий уровень «изменение» в матрице не означает доступа к каталогам чужих подразделений.</w:t>
      </w:r>
    </w:p>
    <w:p>
      <w:r>
        <w:t>4.3. Доступ к службе поддержки уровня «изменение» означает право создавать и комментировать заявки; предоставляется всем ролям с учётной записью.</w:t>
      </w:r>
    </w:p>
    <w:p>
      <w:r>
        <w:t>4.4. Уровень «чтение» для руководителя ИТ и системного администратора к лабораторной системе КИП и измерений отражает то, что технический владелец системы — начальник ОТК, а ИТ-служба обеспечивает только инфраструктуру, на которой система работает.</w:t>
      </w:r>
    </w:p>
    <w:p>
      <w:pPr>
        <w:pStyle w:val="Heading2"/>
      </w:pPr>
      <w:r>
        <w:t>5. Порядок использования</w:t>
      </w:r>
    </w:p>
    <w:p>
      <w:r>
        <w:t>5.1. При оформлении заявки на доступ инициатор и согласующие сверяют запрашиваемый уровень доступа с настоящей матрицей; запрос уровня выше установленного матрицей для роли сотрудника отклоняется без пересмотра ролевой модели.</w:t>
      </w:r>
    </w:p>
    <w:p>
      <w:r>
        <w:t>5.2. Матрица актуализируется при каждом пересмотре ролевой модели доступа в порядке, установленном ИТ-РБАК-МОДЕЛЬ, п. 6.</w:t>
      </w:r>
    </w:p>
    <w:p>
      <w:pPr>
        <w:pStyle w:val="Heading2"/>
      </w:pPr>
      <w:r>
        <w:t>6. Ответственность</w:t>
      </w:r>
    </w:p>
    <w:p>
      <w:r>
        <w:t>6.1. Ответственность за соответствие матрицы действующей ролевой модели несёт руководитель ИТ.</w:t>
      </w:r>
    </w:p>
    <w:p>
      <w:r>
        <w:t>6.2. Ответственность за использование матрицы при согласовании заявок на доступ несёт системный администратор.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