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20.01.2026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Ролевая модель доступа к информационным системам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ролевая модель устанавливает принципы предоставления доступа к информационным системам ГК «Родос-Деталь» и закрепляет соответствие между должностями (ролями) и составом систем, к которым сотрудник в этой роли получает доступ.</w:t>
      </w:r>
    </w:p>
    <w:p>
      <w:r>
        <w:t>1.2. Модель распространяется на все информационные системы, учтённые в реестре информационных систем (ИТ-РЕЕСТР-СИСТЕМ), и на все должности штатного расписания.</w:t>
      </w:r>
    </w:p>
    <w:p>
      <w:r>
        <w:t>1.3. Практическое применение модели — предоставление, изменение и отзыв доступа конкретным сотрудникам — осуществляется по регламенту согласования и выдачи доступа (ИТ-РЕГЛ-ДОСТУП) на основании настоящей модели и матрицы доступа (ИТ-РБАК-МАТРИЦА).</w:t>
      </w:r>
    </w:p>
    <w:p>
      <w:pPr>
        <w:pStyle w:val="Heading2"/>
      </w:pPr>
      <w:r>
        <w:t>2. Принципы ролевой модели</w:t>
      </w:r>
    </w:p>
    <w:p>
      <w:r>
        <w:t>2.1. Единицей выдачи доступа является роль, соответствующая должности сотрудника по штатному расписанию, а не отдельный сотрудник.</w:t>
      </w:r>
    </w:p>
    <w:p>
      <w:r>
        <w:t>2.2. Доступ, предоставляемый роли, ограничивается минимально необходимым для исполнения должностных обязанностей объёмом систем и уровнем доступа в каждой из них.</w:t>
      </w:r>
    </w:p>
    <w:p>
      <w:r>
        <w:t>2.3. Персональные исключения из объёма доступа, установленного ролью, не допускаются. Потребность в доступе, выходящем за рамки роли, означает необходимость пересмотра самой роли, а не точечного исключения для сотрудника.</w:t>
      </w:r>
    </w:p>
    <w:p>
      <w:r>
        <w:t>2.4. Если фактические обязанности сотрудника систематически требуют доступа сверх установленного его ролью, непосредственный руководитель направляет руководителю ИТ предложение об изменении состава роли в ролевой модели.</w:t>
      </w:r>
    </w:p>
    <w:p>
      <w:r>
        <w:t>2.5. Один сотрудник может исполнять одну или несколько ролей одновременно только на основании приказа о совмещении должностей или временном исполнении обязанностей; состав доступа в этом случае — объединение доступов соответствующих ролей.</w:t>
      </w:r>
    </w:p>
    <w:p>
      <w:pPr>
        <w:pStyle w:val="Heading2"/>
      </w:pPr>
      <w:r>
        <w:t>3. Уровни доступа</w:t>
      </w:r>
    </w:p>
    <w:p>
      <w:r>
        <w:t>3.1. Настоящей моделью и матрицей доступа применяются четыре уровня доступа к системе:</w:t>
      </w:r>
    </w:p>
    <w:p>
      <w:r>
        <w:t>3.2. «Чтение» — просмотр данных системы без права их изменения; применяется для ролей, которым данные системы нужны для контроля или согласования, но не для оперативной работы в ней.</w:t>
      </w:r>
    </w:p>
    <w:p>
      <w:r>
        <w:t>3.3. «Изменение» — ввод, редактирование и обработка данных в рамках функциональных возможностей, доступных обычному пользователю системы.</w:t>
      </w:r>
    </w:p>
    <w:p>
      <w:r>
        <w:t>3.4. «Администрирование» — управление учётными записями, правами доступа, конфигурацией и техническим состоянием системы.</w:t>
      </w:r>
    </w:p>
    <w:p>
      <w:r>
        <w:t>3.5. «Нет» — доступ к системе не предоставляется; попытка получить доступ к системе, не предусмотренный ролью сотрудника, требует пересмотра роли по пункту 2.4 настоящей модели.</w:t>
      </w:r>
    </w:p>
    <w:p>
      <w:pPr>
        <w:pStyle w:val="Heading2"/>
      </w:pPr>
      <w:r>
        <w:t>4. Распределение прав администрирования</w:t>
      </w:r>
    </w:p>
    <w:p>
      <w:r>
        <w:t>4.1. Административный доступ ко всем системам, техническим владельцем которых по реестру информационных систем является руководитель ИТ или системный администратор, предоставляется обеим этим ролям — руководителю ИТ как ответственному за информационные системы предприятия и системному администратору как исполнителю технического администрирования.</w:t>
      </w:r>
    </w:p>
    <w:p>
      <w:r>
        <w:t>4.2. Административный доступ к лабораторной системе КИП и измерений предоставляется начальнику ОТК как техническому владельцу системы; руководителю ИТ и системному администратору по этой системе предоставляется доступ уровня «чтение» для контроля состояния инфраструктуры без вмешательства в данные лаборатории.</w:t>
      </w:r>
    </w:p>
    <w:p>
      <w:r>
        <w:t>4.3. Административный доступ к системе, где технический владелец не совпадает с бизнес-владельцем, не отменяет необходимости согласования состава прав с бизнес-владельцем в порядке, установленном регламентом ИТ-РЕГЛ-ДОСТУП.</w:t>
      </w:r>
    </w:p>
    <w:p>
      <w:pPr>
        <w:pStyle w:val="Heading2"/>
      </w:pPr>
      <w:r>
        <w:t>5. Роль → системы → уровень доступа</w:t>
      </w:r>
    </w:p>
    <w:p>
      <w:r>
        <w:t>5.1. Почта, файловый сервер и служба поддержки предоставляются всем ролям на уровне «изменение» и в таблице ниже не повторяются. Указаны только системы, отличающие роль от этого базового набора. Полная матрица со всеми системами и уровнями по каждой роли приведена в ИТ-РБАК-МАТРИЦА.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Дополнительные системы и уровень доступа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</w:r>
          </w:p>
        </w:tc>
        <w:tc>
          <w:tcPr>
            <w:tcW w:type="dxa" w:w="4320"/>
          </w:tcPr>
          <w:p>
            <w:r>
              <w:t>нет дополнительных систем</w:t>
            </w:r>
          </w:p>
        </w:tc>
      </w:tr>
      <w:tr>
        <w:tc>
          <w:tcPr>
            <w:tcW w:type="dxa" w:w="4320"/>
          </w:tcPr>
          <w:p>
            <w:r>
              <w:t>Финансовый директор</w:t>
            </w:r>
          </w:p>
        </w:tc>
        <w:tc>
          <w:tcPr>
            <w:tcW w:type="dxa" w:w="4320"/>
          </w:tcPr>
          <w:p>
            <w:r>
              <w:t>1С:ERP — чтение; VPN — изменение</w:t>
            </w:r>
          </w:p>
        </w:tc>
      </w:tr>
      <w:tr>
        <w:tc>
          <w:tcPr>
            <w:tcW w:type="dxa" w:w="4320"/>
          </w:tcPr>
          <w:p>
            <w:r>
              <w:t>Главный бухгалтер</w:t>
            </w:r>
          </w:p>
        </w:tc>
        <w:tc>
          <w:tcPr>
            <w:tcW w:type="dxa" w:w="4320"/>
          </w:tcPr>
          <w:p>
            <w:r>
              <w:t>1С:ERP, 1С:Бухгалтерия, ЭДО Диадок — изменение</w:t>
            </w:r>
          </w:p>
        </w:tc>
      </w:tr>
      <w:tr>
        <w:tc>
          <w:tcPr>
            <w:tcW w:type="dxa" w:w="4320"/>
          </w:tcPr>
          <w:p>
            <w:r>
              <w:t>Бухгалтер по расчётам с контрагентами</w:t>
            </w:r>
          </w:p>
        </w:tc>
        <w:tc>
          <w:tcPr>
            <w:tcW w:type="dxa" w:w="4320"/>
          </w:tcPr>
          <w:p>
            <w:r>
              <w:t>1С:ERP, 1С:Бухгалтерия, ЭДО Диадок — изменение</w:t>
            </w:r>
          </w:p>
        </w:tc>
      </w:tr>
      <w:tr>
        <w:tc>
          <w:tcPr>
            <w:tcW w:type="dxa" w:w="4320"/>
          </w:tcPr>
          <w:p>
            <w:r>
              <w:t>Казначей</w:t>
            </w:r>
          </w:p>
        </w:tc>
        <w:tc>
          <w:tcPr>
            <w:tcW w:type="dxa" w:w="4320"/>
          </w:tcPr>
          <w:p>
            <w:r>
              <w:t>1С:ERP — изменение</w:t>
            </w:r>
          </w:p>
        </w:tc>
      </w:tr>
      <w:tr>
        <w:tc>
          <w:tcPr>
            <w:tcW w:type="dxa" w:w="4320"/>
          </w:tcPr>
          <w:p>
            <w:r>
              <w:t>Коммерческий директор</w:t>
            </w:r>
          </w:p>
        </w:tc>
        <w:tc>
          <w:tcPr>
            <w:tcW w:type="dxa" w:w="4320"/>
          </w:tcPr>
          <w:p>
            <w:r>
              <w:t>Bitrix24 — изменение</w:t>
            </w:r>
          </w:p>
        </w:tc>
      </w:tr>
      <w:tr>
        <w:tc>
          <w:tcPr>
            <w:tcW w:type="dxa" w:w="4320"/>
          </w:tcPr>
          <w:p>
            <w:r>
              <w:t>Менеджер по продажам</w:t>
            </w:r>
          </w:p>
        </w:tc>
        <w:tc>
          <w:tcPr>
            <w:tcW w:type="dxa" w:w="4320"/>
          </w:tcPr>
          <w:p>
            <w:r>
              <w:t>1С:ERP, ЭДО Диадок, VPN, Bitrix24 — изменение</w:t>
            </w:r>
          </w:p>
        </w:tc>
      </w:tr>
      <w:tr>
        <w:tc>
          <w:tcPr>
            <w:tcW w:type="dxa" w:w="4320"/>
          </w:tcPr>
          <w:p>
            <w:r>
              <w:t>Инженер по продажам</w:t>
            </w:r>
          </w:p>
        </w:tc>
        <w:tc>
          <w:tcPr>
            <w:tcW w:type="dxa" w:w="4320"/>
          </w:tcPr>
          <w:p>
            <w:r>
              <w:t>Bitrix24 — изменение</w:t>
            </w:r>
          </w:p>
        </w:tc>
      </w:tr>
      <w:tr>
        <w:tc>
          <w:tcPr>
            <w:tcW w:type="dxa" w:w="4320"/>
          </w:tcPr>
          <w:p>
            <w:r>
              <w:t>Главный технолог</w:t>
            </w:r>
          </w:p>
        </w:tc>
        <w:tc>
          <w:tcPr>
            <w:tcW w:type="dxa" w:w="4320"/>
          </w:tcPr>
          <w:p>
            <w:r>
              <w:t>нет дополнительных систем</w:t>
            </w:r>
          </w:p>
        </w:tc>
      </w:tr>
      <w:tr>
        <w:tc>
          <w:tcPr>
            <w:tcW w:type="dxa" w:w="4320"/>
          </w:tcPr>
          <w:p>
            <w:r>
              <w:t>Инженер-технолог</w:t>
            </w:r>
          </w:p>
        </w:tc>
        <w:tc>
          <w:tcPr>
            <w:tcW w:type="dxa" w:w="4320"/>
          </w:tcPr>
          <w:p>
            <w:r>
              <w:t>1С:ERP — изменение</w:t>
            </w:r>
          </w:p>
        </w:tc>
      </w:tr>
      <w:tr>
        <w:tc>
          <w:tcPr>
            <w:tcW w:type="dxa" w:w="4320"/>
          </w:tcPr>
          <w:p>
            <w:r>
              <w:t>Начальник цеха</w:t>
            </w:r>
          </w:p>
        </w:tc>
        <w:tc>
          <w:tcPr>
            <w:tcW w:type="dxa" w:w="4320"/>
          </w:tcPr>
          <w:p>
            <w:r>
              <w:t>СКУД — изменение</w:t>
            </w:r>
          </w:p>
        </w:tc>
      </w:tr>
      <w:tr>
        <w:tc>
          <w:tcPr>
            <w:tcW w:type="dxa" w:w="4320"/>
          </w:tcPr>
          <w:p>
            <w:r>
              <w:t>Мастер участка</w:t>
            </w:r>
          </w:p>
        </w:tc>
        <w:tc>
          <w:tcPr>
            <w:tcW w:type="dxa" w:w="4320"/>
          </w:tcPr>
          <w:p>
            <w:r>
              <w:t>нет дополнительных систем</w:t>
            </w:r>
          </w:p>
        </w:tc>
      </w:tr>
      <w:tr>
        <w:tc>
          <w:tcPr>
            <w:tcW w:type="dxa" w:w="4320"/>
          </w:tcPr>
          <w:p>
            <w:r>
              <w:t>Начальник ОТК</w:t>
            </w:r>
          </w:p>
        </w:tc>
        <w:tc>
          <w:tcPr>
            <w:tcW w:type="dxa" w:w="4320"/>
          </w:tcPr>
          <w:p>
            <w:r>
              <w:t>КИП и измерения — администрирование</w:t>
            </w:r>
          </w:p>
        </w:tc>
      </w:tr>
      <w:tr>
        <w:tc>
          <w:tcPr>
            <w:tcW w:type="dxa" w:w="4320"/>
          </w:tcPr>
          <w:p>
            <w:r>
              <w:t>Контролёр ОТК</w:t>
            </w:r>
          </w:p>
        </w:tc>
        <w:tc>
          <w:tcPr>
            <w:tcW w:type="dxa" w:w="4320"/>
          </w:tcPr>
          <w:p>
            <w:r>
              <w:t>КИП и измерения — изменение</w:t>
            </w:r>
          </w:p>
        </w:tc>
      </w:tr>
      <w:tr>
        <w:tc>
          <w:tcPr>
            <w:tcW w:type="dxa" w:w="4320"/>
          </w:tcPr>
          <w:p>
            <w:r>
              <w:t>Главный механик</w:t>
            </w:r>
          </w:p>
        </w:tc>
        <w:tc>
          <w:tcPr>
            <w:tcW w:type="dxa" w:w="4320"/>
          </w:tcPr>
          <w:p>
            <w:r>
              <w:t>нет дополнительных систем</w:t>
            </w:r>
          </w:p>
        </w:tc>
      </w:tr>
      <w:tr>
        <w:tc>
          <w:tcPr>
            <w:tcW w:type="dxa" w:w="4320"/>
          </w:tcPr>
          <w:p>
            <w:r>
              <w:t>Начальник отдела снабжения</w:t>
            </w:r>
          </w:p>
        </w:tc>
        <w:tc>
          <w:tcPr>
            <w:tcW w:type="dxa" w:w="4320"/>
          </w:tcPr>
          <w:p>
            <w:r>
              <w:t>1С:ERP — изменение</w:t>
            </w:r>
          </w:p>
        </w:tc>
      </w:tr>
      <w:tr>
        <w:tc>
          <w:tcPr>
            <w:tcW w:type="dxa" w:w="4320"/>
          </w:tcPr>
          <w:p>
            <w:r>
              <w:t>Руководитель ИТ</w:t>
            </w:r>
          </w:p>
        </w:tc>
        <w:tc>
          <w:tcPr>
            <w:tcW w:type="dxa" w:w="4320"/>
          </w:tcPr>
          <w:p>
            <w:r>
              <w:t>1С:ERP, 1С:Бухгалтерия, ЭДО Диадок, VPN, Bitrix24, СКУД — администрирование; КИП и измерения — чтение</w:t>
            </w:r>
          </w:p>
        </w:tc>
      </w:tr>
      <w:tr>
        <w:tc>
          <w:tcPr>
            <w:tcW w:type="dxa" w:w="4320"/>
          </w:tcPr>
          <w:p>
            <w:r>
              <w:t>Системный администратор</w:t>
            </w:r>
          </w:p>
        </w:tc>
        <w:tc>
          <w:tcPr>
            <w:tcW w:type="dxa" w:w="4320"/>
          </w:tcPr>
          <w:p>
            <w:r>
              <w:t>тот же набор, что и у руководителя ИТ</w:t>
            </w:r>
          </w:p>
        </w:tc>
      </w:tr>
      <w:tr>
        <w:tc>
          <w:tcPr>
            <w:tcW w:type="dxa" w:w="4320"/>
          </w:tcPr>
          <w:p>
            <w:r>
              <w:t>Инженер по охране труда</w:t>
            </w:r>
          </w:p>
        </w:tc>
        <w:tc>
          <w:tcPr>
            <w:tcW w:type="dxa" w:w="4320"/>
          </w:tcPr>
          <w:p>
            <w:r>
              <w:t>СКУД — изменение</w:t>
            </w:r>
          </w:p>
        </w:tc>
      </w:tr>
      <w:tr>
        <w:tc>
          <w:tcPr>
            <w:tcW w:type="dxa" w:w="4320"/>
          </w:tcPr>
          <w:p>
            <w:r>
              <w:t>Начальник склада готовой продукции</w:t>
            </w:r>
          </w:p>
        </w:tc>
        <w:tc>
          <w:tcPr>
            <w:tcW w:type="dxa" w:w="4320"/>
          </w:tcPr>
          <w:p>
            <w:r>
              <w:t>1С:ERP — изменение</w:t>
            </w:r>
          </w:p>
        </w:tc>
      </w:tr>
    </w:tbl>
    <w:p>
      <w:pPr>
        <w:pStyle w:val="Heading2"/>
      </w:pPr>
      <w:r>
        <w:t>6. Пересмотр ролевой модели</w:t>
      </w:r>
    </w:p>
    <w:p>
      <w:r>
        <w:t>6.1. Ролевая модель пересматривается не реже одного раза в полгода; ближайший плановый пересмотр после утверждения настоящей редакции проводится не позднее 20.07.2026.</w:t>
      </w:r>
    </w:p>
    <w:p>
      <w:r>
        <w:t>6.2. Внеплановый пересмотр проводится при вводе новой информационной системы, выводе системы из эксплуатации или изменении организационной структуры, затрагивающем состав должностей.</w:t>
      </w:r>
    </w:p>
    <w:p>
      <w:r>
        <w:t>6.3. Инициатором пересмотра выступает руководитель ИТ; изменения в ролевую модель утверждаются руководителем ИТ и доводятся до сведения руководителей подразделений.</w:t>
      </w:r>
    </w:p>
    <w:p>
      <w:r>
        <w:t>6.4. По результатам пересмотра при необходимости актуализируется матрица доступа (ИТ-РБАК-МАТРИЦА).</w:t>
      </w:r>
    </w:p>
    <w:p>
      <w:pPr>
        <w:pStyle w:val="Heading2"/>
      </w:pPr>
      <w:r>
        <w:t>7. Ответственность</w:t>
      </w:r>
    </w:p>
    <w:p>
      <w:r>
        <w:t>7.1. Ответственность за актуальность ролевой модели несёт руководитель ИТ.</w:t>
      </w:r>
    </w:p>
    <w:p>
      <w:r>
        <w:t>7.2. Ответственность за соответствие фактически предоставленного доступа настоящей модели несёт системный администратор.</w:t>
      </w:r>
    </w:p>
    <w:p>
      <w:r>
        <w:t>7.3. Ответственность за своевременное информирование об изменении обязанностей, влияющем на объём необходимого доступа, несёт непосредственный руководитель сотрудника.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