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Руководитель ИТ</w:t>
      </w:r>
    </w:p>
    <w:p>
      <w:r>
        <w:rPr>
          <w:i/>
        </w:rPr>
        <w:t>Дата утверждения: 02.03.2026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16.03.2026</w:t>
      </w:r>
    </w:p>
    <w:p>
      <w:pPr>
        <w:pStyle w:val="Title"/>
      </w:pPr>
      <w:r>
        <w:t>Реестр интеграций и обменов данными</w:t>
      </w:r>
    </w:p>
    <w:p>
      <w:pPr>
        <w:pStyle w:val="Heading2"/>
      </w:pPr>
      <w:r>
        <w:t>1. Назначение</w:t>
      </w:r>
    </w:p>
    <w:p>
      <w:r>
        <w:t>1.1. Настоящий реестр содержит перечень действующих интеграций и обменов данными между информационными системами ГК «Родос-Деталь», учтёнными в реестре информационных систем (ИТ-РЕЕСТР-СИСТЕМ).</w:t>
      </w:r>
    </w:p>
    <w:p>
      <w:r>
        <w:t>1.2. Реестр применяется совместно с регламентом интеграций между системами (ИТ-РЕГЛ-ИНТЕГР), который устанавливает порядок изменения и тестирования перечисленных ниже интеграций.</w:t>
      </w:r>
    </w:p>
    <w:p>
      <w:r>
        <w:t>1.3. Реестр актуален по состоянию на 22.09.2026 и обновляется при вводе новой интеграции, изменении состава передаваемых данных или выводе интеграции из эксплуатации.</w:t>
      </w:r>
    </w:p>
    <w:p>
      <w:pPr>
        <w:pStyle w:val="Heading2"/>
      </w:pPr>
      <w:r>
        <w:t>2. Перечень интеграций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Интеграция</w:t>
            </w:r>
          </w:p>
        </w:tc>
        <w:tc>
          <w:tcPr>
            <w:tcW w:type="dxa" w:w="1728"/>
          </w:tcPr>
          <w:p>
            <w:r>
              <w:t>Направление обмена</w:t>
            </w:r>
          </w:p>
        </w:tc>
        <w:tc>
          <w:tcPr>
            <w:tcW w:type="dxa" w:w="1728"/>
          </w:tcPr>
          <w:p>
            <w:r>
              <w:t>Передаваемые данные</w:t>
            </w:r>
          </w:p>
        </w:tc>
        <w:tc>
          <w:tcPr>
            <w:tcW w:type="dxa" w:w="1728"/>
          </w:tcPr>
          <w:p>
            <w:r>
              <w:t>Владелец интеграции</w:t>
            </w:r>
          </w:p>
        </w:tc>
        <w:tc>
          <w:tcPr>
            <w:tcW w:type="dxa" w:w="1728"/>
          </w:tcPr>
          <w:p>
            <w:r>
              <w:t>Периодичность обмена</w:t>
            </w:r>
          </w:p>
        </w:tc>
      </w:tr>
      <w:tr>
        <w:tc>
          <w:tcPr>
            <w:tcW w:type="dxa" w:w="1728"/>
          </w:tcPr>
          <w:p>
            <w:r>
              <w:t>1С:ERP ↔ ЭДО (Диадок)</w:t>
            </w:r>
          </w:p>
        </w:tc>
        <w:tc>
          <w:tcPr>
            <w:tcW w:type="dxa" w:w="1728"/>
          </w:tcPr>
          <w:p>
            <w:r>
              <w:t>двустороннее</w:t>
            </w:r>
          </w:p>
        </w:tc>
        <w:tc>
          <w:tcPr>
            <w:tcW w:type="dxa" w:w="1728"/>
          </w:tcPr>
          <w:p>
            <w:r>
              <w:t>данные об отгрузках и закупках для формирования УПД, счетов-фактур, актов; подписанные документы — обратно в 1С:ERP</w:t>
            </w:r>
          </w:p>
        </w:tc>
        <w:tc>
          <w:tcPr>
            <w:tcW w:type="dxa" w:w="1728"/>
          </w:tcPr>
          <w:p>
            <w:r>
              <w:t>Руководитель ИТ</w:t>
            </w:r>
          </w:p>
        </w:tc>
        <w:tc>
          <w:tcPr>
            <w:tcW w:type="dxa" w:w="1728"/>
          </w:tcPr>
          <w:p>
            <w:r>
              <w:t>в режиме, близком к реальному времени, при формировании документа</w:t>
            </w:r>
          </w:p>
        </w:tc>
      </w:tr>
      <w:tr>
        <w:tc>
          <w:tcPr>
            <w:tcW w:type="dxa" w:w="1728"/>
          </w:tcPr>
          <w:p>
            <w:r>
              <w:t>1С:ERP → Файловый сервер \\rodos-fs</w:t>
            </w:r>
          </w:p>
        </w:tc>
        <w:tc>
          <w:tcPr>
            <w:tcW w:type="dxa" w:w="1728"/>
          </w:tcPr>
          <w:p>
            <w:r>
              <w:t>одностороннее</w:t>
            </w:r>
          </w:p>
        </w:tc>
        <w:tc>
          <w:tcPr>
            <w:tcW w:type="dxa" w:w="1728"/>
          </w:tcPr>
          <w:p>
            <w:r>
              <w:t>печатные формы документов, сформированных в 1С:ERP, для доступа подразделений без прямого доступа к системе</w:t>
            </w:r>
          </w:p>
        </w:tc>
        <w:tc>
          <w:tcPr>
            <w:tcW w:type="dxa" w:w="1728"/>
          </w:tcPr>
          <w:p>
            <w:r>
              <w:t>Руководитель ИТ</w:t>
            </w:r>
          </w:p>
        </w:tc>
        <w:tc>
          <w:tcPr>
            <w:tcW w:type="dxa" w:w="1728"/>
          </w:tcPr>
          <w:p>
            <w:r>
              <w:t>ежедневно</w:t>
            </w:r>
          </w:p>
        </w:tc>
      </w:tr>
      <w:tr>
        <w:tc>
          <w:tcPr>
            <w:tcW w:type="dxa" w:w="1728"/>
          </w:tcPr>
          <w:p>
            <w:r>
              <w:t>1С:ERP ↔ 1С:Бухгалтерия предприятия</w:t>
            </w:r>
          </w:p>
        </w:tc>
        <w:tc>
          <w:tcPr>
            <w:tcW w:type="dxa" w:w="1728"/>
          </w:tcPr>
          <w:p>
            <w:r>
              <w:t>двустороннее</w:t>
            </w:r>
          </w:p>
        </w:tc>
        <w:tc>
          <w:tcPr>
            <w:tcW w:type="dxa" w:w="1728"/>
          </w:tcPr>
          <w:p>
            <w:r>
              <w:t>первичные документы для регламентированного учёта</w:t>
            </w:r>
          </w:p>
        </w:tc>
        <w:tc>
          <w:tcPr>
            <w:tcW w:type="dxa" w:w="1728"/>
          </w:tcPr>
          <w:p>
            <w:r>
              <w:t>Руководитель ИТ</w:t>
            </w:r>
          </w:p>
        </w:tc>
        <w:tc>
          <w:tcPr>
            <w:tcW w:type="dxa" w:w="1728"/>
          </w:tcPr>
          <w:p>
            <w:r>
              <w:t>ежедневно</w:t>
            </w:r>
          </w:p>
        </w:tc>
      </w:tr>
    </w:tbl>
    <w:p>
      <w:pPr>
        <w:pStyle w:val="Heading2"/>
      </w:pPr>
      <w:r>
        <w:t>3. Пояснения к обмену документами</w:t>
      </w:r>
    </w:p>
    <w:p>
      <w:r>
        <w:t>3.1. Интеграция 1С:ERP и ЭДО (Диадок) обеспечивает передачу в оператора ЭДО документов, сформированных менеджерами по продажам и отделом снабжения, и получение обратно подписанных контрагентами документов без ручного переноса данных.</w:t>
      </w:r>
    </w:p>
    <w:p>
      <w:r>
        <w:t>3.2. Интеграция 1С:ERP и файлового сервера используется подразделениями, для которых по матрице доступа (ИТ-РБАК-МАТРИЦА) не предусмотрен прямой доступ к 1С:ERP, но требуется печатная форма документа — например, для передачи сменных заданий и сопроводительных документов в цех.</w:t>
      </w:r>
    </w:p>
    <w:p>
      <w:r>
        <w:t>3.3. Интеграция 1С:ERP и 1С:Бухгалтерия предприятия исключает повторный ручной ввод первичных документов бухгалтерией и обеспечивает соответствие данных регламентированного учёта данным оперативного контура.</w:t>
      </w:r>
    </w:p>
    <w:p>
      <w:pPr>
        <w:pStyle w:val="Heading2"/>
      </w:pPr>
      <w:r>
        <w:t>4. Владение и техническая поддержка</w:t>
      </w:r>
    </w:p>
    <w:p>
      <w:r>
        <w:t>4.1. Владельцем всех интеграций настоящего реестра является руководитель ИТ; техническую поддержку и устранение сбоев осуществляет системный администратор в порядке, установленном регламентом ИТ-РЕГЛ-ИНТЕГР, разделом 6.</w:t>
      </w:r>
    </w:p>
    <w:p>
      <w:r>
        <w:t>4.2. Изменение состава передаваемых данных или периодичности обмена по любой интеграции настоящего реестра производится только в порядке, установленном регламентом ИТ-РЕГЛ-ИНТЕГР, разделом 4.</w:t>
      </w:r>
    </w:p>
    <w:p>
      <w:pPr>
        <w:pStyle w:val="Heading2"/>
      </w:pPr>
      <w:r>
        <w:t>5. Порядок ведения реестра</w:t>
      </w:r>
    </w:p>
    <w:p>
      <w:r>
        <w:t>5.1. Реестр ведёт системный администратор; изменения вносятся не позднее 5 рабочих дней с даты ввода интеграции в эксплуатацию, изменения её параметров или вывода из эксплуатации.</w:t>
      </w:r>
    </w:p>
    <w:p>
      <w:r>
        <w:t>5.2. Руководитель ИТ проверяет актуальность реестра не реже одного раза в полгода.</w:t>
      </w:r>
    </w:p>
    <w:p>
      <w:pPr>
        <w:pStyle w:val="Heading2"/>
      </w:pPr>
      <w:r>
        <w:t>6. Ответственность</w:t>
      </w:r>
    </w:p>
    <w:p>
      <w:r>
        <w:t>6.1. Ответственность за актуальность реестра несёт руководитель ИТ.</w:t>
      </w:r>
    </w:p>
    <w:p>
      <w:r>
        <w:t>6.2. Ответственность за своевременное внесение изменений несёт системный администратор.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