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22.09.2026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22.09.2026</w:t>
      </w:r>
    </w:p>
    <w:p>
      <w:pPr>
        <w:pStyle w:val="Title"/>
      </w:pPr>
      <w:r>
        <w:t>Реестр лицензий на программное обеспечение</w:t>
      </w:r>
    </w:p>
    <w:p>
      <w:pPr>
        <w:pStyle w:val="Heading2"/>
      </w:pPr>
      <w:r>
        <w:t>1. Назначение</w:t>
      </w:r>
    </w:p>
    <w:p>
      <w:r>
        <w:t>1.1. Настоящий реестр содержит перечень лицензий на программное обеспечение, используемое на предприятии, с указанием количества, срока действия и договора, по которому лицензия приобретена.</w:t>
      </w:r>
    </w:p>
    <w:p>
      <w:r>
        <w:t>1.2. Компьютерная техника, лицензии и сетевое оборудование предприятие приобретает у ООО «ИТ-Снаб-Партнёр» по договору ИТС-2025/16 (поставка компьютерной техники, лицензий и сетевого оборудования, отсрочка платежа 30 календарных дней, договор действует до 31.12.2026). Иных поставщиков программного обеспечения предприятие не привлекает.</w:t>
      </w:r>
    </w:p>
    <w:p>
      <w:r>
        <w:t>1.3. Ответственным за учёт и продление лицензий, а также за соблюдение условий лицензионных соглашений на предприятии является руководитель ИТ.</w:t>
      </w:r>
    </w:p>
    <w:p>
      <w:pPr>
        <w:pStyle w:val="Heading2"/>
      </w:pPr>
      <w:r>
        <w:t>2. Реестр лицензий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Тип лицензии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Срок действия</w:t>
            </w:r>
          </w:p>
        </w:tc>
        <w:tc>
          <w:tcPr>
            <w:tcW w:type="dxa" w:w="1440"/>
          </w:tcPr>
          <w:p>
            <w:r>
              <w:t>Договор</w:t>
            </w:r>
          </w:p>
        </w:tc>
        <w:tc>
          <w:tcPr>
            <w:tcW w:type="dxa" w:w="1440"/>
          </w:tcPr>
          <w:p>
            <w:r>
              <w:t>Ответственный</w:t>
            </w:r>
          </w:p>
        </w:tc>
      </w:tr>
      <w:tr>
        <w:tc>
          <w:tcPr>
            <w:tcW w:type="dxa" w:w="1440"/>
          </w:tcPr>
          <w:p>
            <w:r>
              <w:t>Windows 11 Pro</w:t>
            </w:r>
          </w:p>
        </w:tc>
        <w:tc>
          <w:tcPr>
            <w:tcW w:type="dxa" w:w="1440"/>
          </w:tcPr>
          <w:p>
            <w:r>
              <w:t>OEM / корпоративная, бессрочная</w:t>
            </w:r>
          </w:p>
        </w:tc>
        <w:tc>
          <w:tcPr>
            <w:tcW w:type="dxa" w:w="1440"/>
          </w:tcPr>
          <w:p>
            <w:r>
              <w:t>140 шт.</w:t>
            </w:r>
          </w:p>
        </w:tc>
        <w:tc>
          <w:tcPr>
            <w:tcW w:type="dxa" w:w="1440"/>
          </w:tcPr>
          <w:p>
            <w:r>
              <w:t>бессрочная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Windows Server 2022 CAL</w:t>
            </w:r>
          </w:p>
        </w:tc>
        <w:tc>
          <w:tcPr>
            <w:tcW w:type="dxa" w:w="1440"/>
          </w:tcPr>
          <w:p>
            <w:r>
              <w:t>клиентская лицензия доступа</w:t>
            </w:r>
          </w:p>
        </w:tc>
        <w:tc>
          <w:tcPr>
            <w:tcW w:type="dxa" w:w="1440"/>
          </w:tcPr>
          <w:p>
            <w:r>
              <w:t>160 шт.</w:t>
            </w:r>
          </w:p>
        </w:tc>
        <w:tc>
          <w:tcPr>
            <w:tcW w:type="dxa" w:w="1440"/>
          </w:tcPr>
          <w:p>
            <w:r>
              <w:t>бессрочная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Microsoft 365 (Office)</w:t>
            </w:r>
          </w:p>
        </w:tc>
        <w:tc>
          <w:tcPr>
            <w:tcW w:type="dxa" w:w="1440"/>
          </w:tcPr>
          <w:p>
            <w:r>
              <w:t>подписка, годовая</w:t>
            </w:r>
          </w:p>
        </w:tc>
        <w:tc>
          <w:tcPr>
            <w:tcW w:type="dxa" w:w="1440"/>
          </w:tcPr>
          <w:p>
            <w:r>
              <w:t>90 шт.</w:t>
            </w:r>
          </w:p>
        </w:tc>
        <w:tc>
          <w:tcPr>
            <w:tcW w:type="dxa" w:w="1440"/>
          </w:tcPr>
          <w:p>
            <w:r>
              <w:t>до 30.06.2027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1С:Предприятие 8</w:t>
            </w:r>
          </w:p>
        </w:tc>
        <w:tc>
          <w:tcPr>
            <w:tcW w:type="dxa" w:w="1440"/>
          </w:tcPr>
          <w:p>
            <w:r>
              <w:t>серверная лицензия</w:t>
            </w:r>
          </w:p>
        </w:tc>
        <w:tc>
          <w:tcPr>
            <w:tcW w:type="dxa" w:w="1440"/>
          </w:tcPr>
          <w:p>
            <w:r>
              <w:t>1 шт.</w:t>
            </w:r>
          </w:p>
        </w:tc>
        <w:tc>
          <w:tcPr>
            <w:tcW w:type="dxa" w:w="1440"/>
          </w:tcPr>
          <w:p>
            <w:r>
              <w:t>бессрочная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1С:ERP Управление предприятием</w:t>
            </w:r>
          </w:p>
        </w:tc>
        <w:tc>
          <w:tcPr>
            <w:tcW w:type="dxa" w:w="1440"/>
          </w:tcPr>
          <w:p>
            <w:r>
              <w:t>клиентская лицензия</w:t>
            </w:r>
          </w:p>
        </w:tc>
        <w:tc>
          <w:tcPr>
            <w:tcW w:type="dxa" w:w="1440"/>
          </w:tcPr>
          <w:p>
            <w:r>
              <w:t>45 шт.</w:t>
            </w:r>
          </w:p>
        </w:tc>
        <w:tc>
          <w:tcPr>
            <w:tcW w:type="dxa" w:w="1440"/>
          </w:tcPr>
          <w:p>
            <w:r>
              <w:t>бессрочная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1С:Бухгалтерия предприятия</w:t>
            </w:r>
          </w:p>
        </w:tc>
        <w:tc>
          <w:tcPr>
            <w:tcW w:type="dxa" w:w="1440"/>
          </w:tcPr>
          <w:p>
            <w:r>
              <w:t>клиентская лицензия</w:t>
            </w:r>
          </w:p>
        </w:tc>
        <w:tc>
          <w:tcPr>
            <w:tcW w:type="dxa" w:w="1440"/>
          </w:tcPr>
          <w:p>
            <w:r>
              <w:t>12 шт.</w:t>
            </w:r>
          </w:p>
        </w:tc>
        <w:tc>
          <w:tcPr>
            <w:tcW w:type="dxa" w:w="1440"/>
          </w:tcPr>
          <w:p>
            <w:r>
              <w:t>бессрочная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СУБД для серверов 1С, подписка на обновления и техподдержку</w:t>
            </w:r>
          </w:p>
        </w:tc>
        <w:tc>
          <w:tcPr>
            <w:tcW w:type="dxa" w:w="1440"/>
          </w:tcPr>
          <w:p>
            <w:r>
              <w:t>серверная, годовая подписка</w:t>
            </w:r>
          </w:p>
        </w:tc>
        <w:tc>
          <w:tcPr>
            <w:tcW w:type="dxa" w:w="1440"/>
          </w:tcPr>
          <w:p>
            <w:r>
              <w:t>1 шт.</w:t>
            </w:r>
          </w:p>
        </w:tc>
        <w:tc>
          <w:tcPr>
            <w:tcW w:type="dxa" w:w="1440"/>
          </w:tcPr>
          <w:p>
            <w:r>
              <w:t>до 31.12.2026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ЭДО «Диадок»</w:t>
            </w:r>
          </w:p>
        </w:tc>
        <w:tc>
          <w:tcPr>
            <w:tcW w:type="dxa" w:w="1440"/>
          </w:tcPr>
          <w:p>
            <w:r>
              <w:t>абонентская, по количеству документов</w:t>
            </w:r>
          </w:p>
        </w:tc>
        <w:tc>
          <w:tcPr>
            <w:tcW w:type="dxa" w:w="1440"/>
          </w:tcPr>
          <w:p>
            <w:r>
              <w:t>20 000 документов в год</w:t>
            </w:r>
          </w:p>
        </w:tc>
        <w:tc>
          <w:tcPr>
            <w:tcW w:type="dxa" w:w="1440"/>
          </w:tcPr>
          <w:p>
            <w:r>
              <w:t>до 31.12.2026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Антивирус / средство защиты конечных точек</w:t>
            </w:r>
          </w:p>
        </w:tc>
        <w:tc>
          <w:tcPr>
            <w:tcW w:type="dxa" w:w="1440"/>
          </w:tcPr>
          <w:p>
            <w:r>
              <w:t>подписка, годовая</w:t>
            </w:r>
          </w:p>
        </w:tc>
        <w:tc>
          <w:tcPr>
            <w:tcW w:type="dxa" w:w="1440"/>
          </w:tcPr>
          <w:p>
            <w:r>
              <w:t>165 шт.</w:t>
            </w:r>
          </w:p>
        </w:tc>
        <w:tc>
          <w:tcPr>
            <w:tcW w:type="dxa" w:w="1440"/>
          </w:tcPr>
          <w:p>
            <w:r>
              <w:t>до 31.12.2026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Bitrix24, тариф «Команда»</w:t>
            </w:r>
          </w:p>
        </w:tc>
        <w:tc>
          <w:tcPr>
            <w:tcW w:type="dxa" w:w="1440"/>
          </w:tcPr>
          <w:p>
            <w:r>
              <w:t>облачная подписка</w:t>
            </w:r>
          </w:p>
        </w:tc>
        <w:tc>
          <w:tcPr>
            <w:tcW w:type="dxa" w:w="1440"/>
          </w:tcPr>
          <w:p>
            <w:r>
              <w:t>15 пользователей</w:t>
            </w:r>
          </w:p>
        </w:tc>
        <w:tc>
          <w:tcPr>
            <w:tcW w:type="dxa" w:w="1440"/>
          </w:tcPr>
          <w:p>
            <w:r>
              <w:t>до 30.04.2027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Программное обеспечение резервного копирования</w:t>
            </w:r>
          </w:p>
        </w:tc>
        <w:tc>
          <w:tcPr>
            <w:tcW w:type="dxa" w:w="1440"/>
          </w:tcPr>
          <w:p>
            <w:r>
              <w:t>серверная, по числу серверов</w:t>
            </w:r>
          </w:p>
        </w:tc>
        <w:tc>
          <w:tcPr>
            <w:tcW w:type="dxa" w:w="1440"/>
          </w:tcPr>
          <w:p>
            <w:r>
              <w:t>6 шт.</w:t>
            </w:r>
          </w:p>
        </w:tc>
        <w:tc>
          <w:tcPr>
            <w:tcW w:type="dxa" w:w="1440"/>
          </w:tcPr>
          <w:p>
            <w:r>
              <w:t>до 15.03.2027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Программное обеспечение сервера VPN (OpenVPN)</w:t>
            </w:r>
          </w:p>
        </w:tc>
        <w:tc>
          <w:tcPr>
            <w:tcW w:type="dxa" w:w="1440"/>
          </w:tcPr>
          <w:p>
            <w:r>
              <w:t>свободное программное обеспечение</w:t>
            </w:r>
          </w:p>
        </w:tc>
        <w:tc>
          <w:tcPr>
            <w:tcW w:type="dxa" w:w="1440"/>
          </w:tcPr>
          <w:p>
            <w:r>
              <w:t>не ограничено</w:t>
            </w:r>
          </w:p>
        </w:tc>
        <w:tc>
          <w:tcPr>
            <w:tcW w:type="dxa" w:w="1440"/>
          </w:tcPr>
          <w:p>
            <w:r>
              <w:t>лицензия не требуется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Программное обеспечение управления цеховыми терминалами</w:t>
            </w:r>
          </w:p>
        </w:tc>
        <w:tc>
          <w:tcPr>
            <w:tcW w:type="dxa" w:w="1440"/>
          </w:tcPr>
          <w:p>
            <w:r>
              <w:t>серверная</w:t>
            </w:r>
          </w:p>
        </w:tc>
        <w:tc>
          <w:tcPr>
            <w:tcW w:type="dxa" w:w="1440"/>
          </w:tcPr>
          <w:p>
            <w:r>
              <w:t>1 шт.</w:t>
            </w:r>
          </w:p>
        </w:tc>
        <w:tc>
          <w:tcPr>
            <w:tcW w:type="dxa" w:w="1440"/>
          </w:tcPr>
          <w:p>
            <w:r>
              <w:t>бессрочная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  <w:tr>
        <w:tc>
          <w:tcPr>
            <w:tcW w:type="dxa" w:w="1440"/>
          </w:tcPr>
          <w:p>
            <w:r>
              <w:t>Программное обеспечение СКУД</w:t>
            </w:r>
          </w:p>
        </w:tc>
        <w:tc>
          <w:tcPr>
            <w:tcW w:type="dxa" w:w="1440"/>
          </w:tcPr>
          <w:p>
            <w:r>
              <w:t>серверная</w:t>
            </w:r>
          </w:p>
        </w:tc>
        <w:tc>
          <w:tcPr>
            <w:tcW w:type="dxa" w:w="1440"/>
          </w:tcPr>
          <w:p>
            <w:r>
              <w:t>1 шт.</w:t>
            </w:r>
          </w:p>
        </w:tc>
        <w:tc>
          <w:tcPr>
            <w:tcW w:type="dxa" w:w="1440"/>
          </w:tcPr>
          <w:p>
            <w:r>
              <w:t>бессрочная</w:t>
            </w:r>
          </w:p>
        </w:tc>
        <w:tc>
          <w:tcPr>
            <w:tcW w:type="dxa" w:w="1440"/>
          </w:tcPr>
          <w:p>
            <w:r>
              <w:t>ИТС-2025/16</w:t>
            </w:r>
          </w:p>
        </w:tc>
        <w:tc>
          <w:tcPr>
            <w:tcW w:type="dxa" w:w="1440"/>
          </w:tcPr>
          <w:p>
            <w:r>
              <w:t>Руководитель ИТ</w:t>
            </w:r>
          </w:p>
        </w:tc>
      </w:tr>
    </w:tbl>
    <w:p>
      <w:pPr>
        <w:pStyle w:val="Heading2"/>
      </w:pPr>
      <w:r>
        <w:t>3. Пояснения</w:t>
      </w:r>
    </w:p>
    <w:p>
      <w:r>
        <w:t>3.1. Количество лицензий рабочих мест (Windows, Microsoft 365, антивирус) рассчитано на административный и инженерно-технический персонал предприятия, использующий компьютер как основной инструмент; операторы оборудования, работающие через цеховой терминал (см. ИТ-ИНС-09), отдельной лицензии рабочего места не требуют.</w:t>
      </w:r>
    </w:p>
    <w:p>
      <w:r>
        <w:t>3.2. Подписки со сроком действия до конца 2026 года подлежат продлению не позднее чем за 30 календарных дней до истечения срока — соответствующая заявка на продление направляется поставщику по договору ИТС-2025/16 руководителем ИТ.</w:t>
      </w:r>
    </w:p>
    <w:p>
      <w:r>
        <w:t>3.3. Превышение количества лицензий (например, установка Windows 11 Pro на компьютер сверх учтённого в настоящем реестре количества) не допускается; при вводе новой единицы техники в реестр компьютерной техники ИТ-РЕЕСТР-ТЕХ руководитель ИТ проверяет наличие свободной лицензии в настоящем реестре.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