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10.09.2025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22.09.2025</w:t>
      </w:r>
    </w:p>
    <w:p>
      <w:pPr>
        <w:pStyle w:val="Title"/>
      </w:pPr>
      <w:r>
        <w:t>Реестр разрешённого программного обеспечения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реестр устанавливает перечень программного обеспечения, разрешённого к использованию на рабочих местах ГК «Родос-Деталь», а также перечень программного обеспечения, использование которого запрещено.</w:t>
      </w:r>
    </w:p>
    <w:p>
      <w:r>
        <w:t>1.2. Реестр обязателен для всех сотрудников, использующих технику предприятия, и для системного администратора при установке и согласовании программного обеспечения.</w:t>
      </w:r>
    </w:p>
    <w:p>
      <w:r>
        <w:t>1.3. Использование программного обеспечения, не включённого в реестр, допускается только после его согласования и включения в реестр в порядке, установленном регламентом установки и обновления программного обеспечения (ИТ-РЕГЛ-УСТАНОВКА-ПО).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Тип лицензии — условия использования программного обеспечения: свободное (бесплатное), коммерческое с лицензией на рабочее место, коммерческое с лицензией на сервер.</w:t>
      </w:r>
    </w:p>
    <w:p>
      <w:pPr>
        <w:pStyle w:val="Heading2"/>
      </w:pPr>
      <w:r>
        <w:t>3. Перечень разрешённого программного обеспечения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Назначение</w:t>
            </w:r>
          </w:p>
        </w:tc>
        <w:tc>
          <w:tcPr>
            <w:tcW w:type="dxa" w:w="1728"/>
          </w:tcPr>
          <w:p>
            <w:r>
              <w:t>Тип лицензии</w:t>
            </w:r>
          </w:p>
        </w:tc>
        <w:tc>
          <w:tcPr>
            <w:tcW w:type="dxa" w:w="1728"/>
          </w:tcPr>
          <w:p>
            <w:r>
              <w:t>Кому положено</w:t>
            </w:r>
          </w:p>
        </w:tc>
        <w:tc>
          <w:tcPr>
            <w:tcW w:type="dxa" w:w="1728"/>
          </w:tcPr>
          <w:p>
            <w:r>
              <w:t>Кто согласует установку</w:t>
            </w:r>
          </w:p>
        </w:tc>
      </w:tr>
      <w:tr>
        <w:tc>
          <w:tcPr>
            <w:tcW w:type="dxa" w:w="1728"/>
          </w:tcPr>
          <w:p>
            <w:r>
              <w:t>Операционная система рабочей станции</w:t>
            </w:r>
          </w:p>
        </w:tc>
        <w:tc>
          <w:tcPr>
            <w:tcW w:type="dxa" w:w="1728"/>
          </w:tcPr>
          <w:p>
            <w:r>
              <w:t>базовое программное обеспечение рабочего места</w:t>
            </w:r>
          </w:p>
        </w:tc>
        <w:tc>
          <w:tcPr>
            <w:tcW w:type="dxa" w:w="1728"/>
          </w:tcPr>
          <w:p>
            <w:r>
              <w:t>коммерческая, на рабочее место</w:t>
            </w:r>
          </w:p>
        </w:tc>
        <w:tc>
          <w:tcPr>
            <w:tcW w:type="dxa" w:w="1728"/>
          </w:tcPr>
          <w:p>
            <w:r>
              <w:t>все сотрудники с рабочей станцией или ноутбуком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</w:tr>
      <w:tr>
        <w:tc>
          <w:tcPr>
            <w:tcW w:type="dxa" w:w="1728"/>
          </w:tcPr>
          <w:p>
            <w:r>
              <w:t>Офисный пакет</w:t>
            </w:r>
          </w:p>
        </w:tc>
        <w:tc>
          <w:tcPr>
            <w:tcW w:type="dxa" w:w="1728"/>
          </w:tcPr>
          <w:p>
            <w:r>
              <w:t>подготовка документов, таблиц, презентаций</w:t>
            </w:r>
          </w:p>
        </w:tc>
        <w:tc>
          <w:tcPr>
            <w:tcW w:type="dxa" w:w="1728"/>
          </w:tcPr>
          <w:p>
            <w:r>
              <w:t>коммерческая, на рабочее место</w:t>
            </w:r>
          </w:p>
        </w:tc>
        <w:tc>
          <w:tcPr>
            <w:tcW w:type="dxa" w:w="1728"/>
          </w:tcPr>
          <w:p>
            <w:r>
              <w:t>все сотрудники с рабочей станцией или ноутбуком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</w:tr>
      <w:tr>
        <w:tc>
          <w:tcPr>
            <w:tcW w:type="dxa" w:w="1728"/>
          </w:tcPr>
          <w:p>
            <w:r>
              <w:t>Браузер</w:t>
            </w:r>
          </w:p>
        </w:tc>
        <w:tc>
          <w:tcPr>
            <w:tcW w:type="dxa" w:w="1728"/>
          </w:tcPr>
          <w:p>
            <w:r>
              <w:t>доступ к веб-интерфейсам систем и справочным ресурсам</w:t>
            </w:r>
          </w:p>
        </w:tc>
        <w:tc>
          <w:tcPr>
            <w:tcW w:type="dxa" w:w="1728"/>
          </w:tcPr>
          <w:p>
            <w:r>
              <w:t>свободная</w:t>
            </w:r>
          </w:p>
        </w:tc>
        <w:tc>
          <w:tcPr>
            <w:tcW w:type="dxa" w:w="1728"/>
          </w:tcPr>
          <w:p>
            <w:r>
              <w:t>все сотрудники с рабочей станцией или ноутбуком</w:t>
            </w:r>
          </w:p>
        </w:tc>
        <w:tc>
          <w:tcPr>
            <w:tcW w:type="dxa" w:w="1728"/>
          </w:tcPr>
          <w:p>
            <w:r>
              <w:t>предустановлено, согласование не требуется</w:t>
            </w:r>
          </w:p>
        </w:tc>
      </w:tr>
      <w:tr>
        <w:tc>
          <w:tcPr>
            <w:tcW w:type="dxa" w:w="1728"/>
          </w:tcPr>
          <w:p>
            <w:r>
              <w:t>Средство просмотра и печати PDF</w:t>
            </w:r>
          </w:p>
        </w:tc>
        <w:tc>
          <w:tcPr>
            <w:tcW w:type="dxa" w:w="1728"/>
          </w:tcPr>
          <w:p>
            <w:r>
              <w:t>работа с документами в формате PDF</w:t>
            </w:r>
          </w:p>
        </w:tc>
        <w:tc>
          <w:tcPr>
            <w:tcW w:type="dxa" w:w="1728"/>
          </w:tcPr>
          <w:p>
            <w:r>
              <w:t>свободная</w:t>
            </w:r>
          </w:p>
        </w:tc>
        <w:tc>
          <w:tcPr>
            <w:tcW w:type="dxa" w:w="1728"/>
          </w:tcPr>
          <w:p>
            <w:r>
              <w:t>все сотрудники с рабочей станцией или ноутбуком</w:t>
            </w:r>
          </w:p>
        </w:tc>
        <w:tc>
          <w:tcPr>
            <w:tcW w:type="dxa" w:w="1728"/>
          </w:tcPr>
          <w:p>
            <w:r>
              <w:t>предустановлено, согласование не требуется</w:t>
            </w:r>
          </w:p>
        </w:tc>
      </w:tr>
      <w:tr>
        <w:tc>
          <w:tcPr>
            <w:tcW w:type="dxa" w:w="1728"/>
          </w:tcPr>
          <w:p>
            <w:r>
              <w:t>Антивирусное программное обеспечение</w:t>
            </w:r>
          </w:p>
        </w:tc>
        <w:tc>
          <w:tcPr>
            <w:tcW w:type="dxa" w:w="1728"/>
          </w:tcPr>
          <w:p>
            <w:r>
              <w:t>защита рабочего места от вредоносного кода</w:t>
            </w:r>
          </w:p>
        </w:tc>
        <w:tc>
          <w:tcPr>
            <w:tcW w:type="dxa" w:w="1728"/>
          </w:tcPr>
          <w:p>
            <w:r>
              <w:t>коммерческая, на рабочее место</w:t>
            </w:r>
          </w:p>
        </w:tc>
        <w:tc>
          <w:tcPr>
            <w:tcW w:type="dxa" w:w="1728"/>
          </w:tcPr>
          <w:p>
            <w:r>
              <w:t>все сотрудники с рабочей станцией или ноутбуком</w:t>
            </w:r>
          </w:p>
        </w:tc>
        <w:tc>
          <w:tcPr>
            <w:tcW w:type="dxa" w:w="1728"/>
          </w:tcPr>
          <w:p>
            <w:r>
              <w:t>системный администратор, установка обязательна</w:t>
            </w:r>
          </w:p>
        </w:tc>
      </w:tr>
      <w:tr>
        <w:tc>
          <w:tcPr>
            <w:tcW w:type="dxa" w:w="1728"/>
          </w:tcPr>
          <w:p>
            <w:r>
              <w:t>Толстый клиент 1С</w:t>
            </w:r>
          </w:p>
        </w:tc>
        <w:tc>
          <w:tcPr>
            <w:tcW w:type="dxa" w:w="1728"/>
          </w:tcPr>
          <w:p>
            <w:r>
              <w:t>работа с 1С:ERP Управление предприятием и 1С:Бухгалтерия предприятия</w:t>
            </w:r>
          </w:p>
        </w:tc>
        <w:tc>
          <w:tcPr>
            <w:tcW w:type="dxa" w:w="1728"/>
          </w:tcPr>
          <w:p>
            <w:r>
              <w:t>коммерческая, по числу пользователей</w:t>
            </w:r>
          </w:p>
        </w:tc>
        <w:tc>
          <w:tcPr>
            <w:tcW w:type="dxa" w:w="1728"/>
          </w:tcPr>
          <w:p>
            <w:r>
              <w:t>роли с доступом к соответствующей системе по ИТ-РБАК-МАТРИЦА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</w:tr>
      <w:tr>
        <w:tc>
          <w:tcPr>
            <w:tcW w:type="dxa" w:w="1728"/>
          </w:tcPr>
          <w:p>
            <w:r>
              <w:t>Клиент ЭДО (Диадок)</w:t>
            </w:r>
          </w:p>
        </w:tc>
        <w:tc>
          <w:tcPr>
            <w:tcW w:type="dxa" w:w="1728"/>
          </w:tcPr>
          <w:p>
            <w:r>
              <w:t>обмен УПД, счетами-фактурами, актами</w:t>
            </w:r>
          </w:p>
        </w:tc>
        <w:tc>
          <w:tcPr>
            <w:tcW w:type="dxa" w:w="1728"/>
          </w:tcPr>
          <w:p>
            <w:r>
              <w:t>коммерческая, по числу пользователей</w:t>
            </w:r>
          </w:p>
        </w:tc>
        <w:tc>
          <w:tcPr>
            <w:tcW w:type="dxa" w:w="1728"/>
          </w:tcPr>
          <w:p>
            <w:r>
              <w:t>роли с доступом к ЭДО Диадок по ИТ-РБАК-МАТРИЦА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</w:tr>
      <w:tr>
        <w:tc>
          <w:tcPr>
            <w:tcW w:type="dxa" w:w="1728"/>
          </w:tcPr>
          <w:p>
            <w:r>
              <w:t>Клиент удалённого доступа OpenVPN</w:t>
            </w:r>
          </w:p>
        </w:tc>
        <w:tc>
          <w:tcPr>
            <w:tcW w:type="dxa" w:w="1728"/>
          </w:tcPr>
          <w:p>
            <w:r>
              <w:t>подключение к сети предприятия извне</w:t>
            </w:r>
          </w:p>
        </w:tc>
        <w:tc>
          <w:tcPr>
            <w:tcW w:type="dxa" w:w="1728"/>
          </w:tcPr>
          <w:p>
            <w:r>
              <w:t>свободная</w:t>
            </w:r>
          </w:p>
        </w:tc>
        <w:tc>
          <w:tcPr>
            <w:tcW w:type="dxa" w:w="1728"/>
          </w:tcPr>
          <w:p>
            <w:r>
              <w:t>роли с доступом к VPN по ИТ-РБАК-МАТРИЦА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</w:tr>
      <w:tr>
        <w:tc>
          <w:tcPr>
            <w:tcW w:type="dxa" w:w="1728"/>
          </w:tcPr>
          <w:p>
            <w:r>
              <w:t>Клиент архиватора</w:t>
            </w:r>
          </w:p>
        </w:tc>
        <w:tc>
          <w:tcPr>
            <w:tcW w:type="dxa" w:w="1728"/>
          </w:tcPr>
          <w:p>
            <w:r>
              <w:t>работа с архивами файлов</w:t>
            </w:r>
          </w:p>
        </w:tc>
        <w:tc>
          <w:tcPr>
            <w:tcW w:type="dxa" w:w="1728"/>
          </w:tcPr>
          <w:p>
            <w:r>
              <w:t>свободная</w:t>
            </w:r>
          </w:p>
        </w:tc>
        <w:tc>
          <w:tcPr>
            <w:tcW w:type="dxa" w:w="1728"/>
          </w:tcPr>
          <w:p>
            <w:r>
              <w:t>все сотрудники с рабочей станцией или ноутбуком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</w:tr>
      <w:tr>
        <w:tc>
          <w:tcPr>
            <w:tcW w:type="dxa" w:w="1728"/>
          </w:tcPr>
          <w:p>
            <w:r>
              <w:t>Программное обеспечение станков с ЧПУ и измерительных систем</w:t>
            </w:r>
          </w:p>
        </w:tc>
        <w:tc>
          <w:tcPr>
            <w:tcW w:type="dxa" w:w="1728"/>
          </w:tcPr>
          <w:p>
            <w:r>
              <w:t>управление производственным и измерительным оборудованием</w:t>
            </w:r>
          </w:p>
        </w:tc>
        <w:tc>
          <w:tcPr>
            <w:tcW w:type="dxa" w:w="1728"/>
          </w:tcPr>
          <w:p>
            <w:r>
              <w:t>коммерческая или входит в состав оборудования</w:t>
            </w:r>
          </w:p>
        </w:tc>
        <w:tc>
          <w:tcPr>
            <w:tcW w:type="dxa" w:w="1728"/>
          </w:tcPr>
          <w:p>
            <w:r>
              <w:t>сотрудники цехов и ОТК по назначению оборудования</w:t>
            </w:r>
          </w:p>
        </w:tc>
        <w:tc>
          <w:tcPr>
            <w:tcW w:type="dxa" w:w="1728"/>
          </w:tcPr>
          <w:p>
            <w:r>
              <w:t>системный администратор совместно с главным механиком</w:t>
            </w:r>
          </w:p>
        </w:tc>
      </w:tr>
    </w:tbl>
    <w:p>
      <w:pPr>
        <w:pStyle w:val="Heading2"/>
      </w:pPr>
      <w:r>
        <w:t>4. Запрещённое программное обеспечение</w:t>
      </w:r>
    </w:p>
    <w:p>
      <w:r>
        <w:t>4.1. Запрещается установка и использование на технике предприятия личных облачных хранилищ для хранения и синхронизации рабочих документов.</w:t>
      </w:r>
    </w:p>
    <w:p>
      <w:r>
        <w:t>4.2. Запрещается использование мессенджеров, не согласованных ИТ-службой, для пересылки рабочих документов и сведений, составляющих коммерческую тайну (ПОЛ-КТ-001).</w:t>
      </w:r>
    </w:p>
    <w:p>
      <w:r>
        <w:t>4.3. Запрещается установка средств удалённого доступа к рабочей станции, не согласованных и не учтённых ИТ-службой; неучтённый удалённый доступ создаёт неконтролируемый канал проникновения в сеть предприятия в обход регламента удалённого доступа (ИТ-РЕГЛ-УДАЛЕНКА).</w:t>
      </w:r>
    </w:p>
    <w:p>
      <w:r>
        <w:t>4.4. Запрещается использование нелицензионного программного обеспечения на технике предприятия независимо от его назначения.</w:t>
      </w:r>
    </w:p>
    <w:p>
      <w:r>
        <w:t>4.5. Запрещается отключение или деинсталляция антивирусного программного обеспечения сотрудником самостоятельно.</w:t>
      </w:r>
    </w:p>
    <w:p>
      <w:pPr>
        <w:pStyle w:val="Heading2"/>
      </w:pPr>
      <w:r>
        <w:t>5. Порядок актуализации реестра</w:t>
      </w:r>
    </w:p>
    <w:p>
      <w:r>
        <w:t>5.1. Реестр актуализируется системным администратором при каждом согласовании нового программного обеспечения в порядке ИТ-РЕГЛ-УСТАНОВКА-ПО.</w:t>
      </w:r>
    </w:p>
    <w:p>
      <w:r>
        <w:t>5.2. Плановая проверка соответствия установленного на рабочих местах программного обеспечения настоящему реестру проводится не реже одного раза в год.</w:t>
      </w:r>
    </w:p>
    <w:p>
      <w:pPr>
        <w:pStyle w:val="Heading2"/>
      </w:pPr>
      <w:r>
        <w:t>6. Ответственность</w:t>
      </w:r>
    </w:p>
    <w:p>
      <w:r>
        <w:t>6.1. Ответственность за актуальность реестра несёт руководитель ИТ.</w:t>
      </w:r>
    </w:p>
    <w:p>
      <w:r>
        <w:t>6.2. Ответственность за использование на рабочем месте программного обеспечения, не включённого в реестр, или запрещённого программного обеспечения несёт сотрудник, на рабочем месте которого оно обнаружено.</w:t>
      </w:r>
    </w:p>
    <w:p>
      <w:r>
        <w:t>6.3. Ответственность за выявление несоответствия при плановой проверке несёт системный администратор.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