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02.03.2026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16.03.2026</w:t>
      </w:r>
    </w:p>
    <w:p>
      <w:pPr>
        <w:pStyle w:val="Title"/>
      </w:pPr>
      <w:r>
        <w:t>Регламент интеграций между системами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владения, изменения и тестирования интеграций (автоматизированного обмена данными) между информационными системами ГК «Родос-Деталь».</w:t>
      </w:r>
    </w:p>
    <w:p>
      <w:r>
        <w:t>1.2. Регламент обязателен для ИТ-службы и для владельцев систем, участвующих в интеграциях.</w:t>
      </w:r>
    </w:p>
    <w:p>
      <w:r>
        <w:t>1.3. Полный перечень действующих интеграций и обменов данными ведётся в реестре интеграций и обменов данными (ИТ-РЕЕСТР-ИНТЕГР); настоящий регламент устанавливает порядок работы с ними, а не их перечень.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Интеграция — автоматизированный обмен данными между двумя и более информационными системами без ручного переноса данных сотрудником.</w:t>
      </w:r>
    </w:p>
    <w:p>
      <w:pPr>
        <w:pStyle w:val="ListBullet"/>
      </w:pPr>
      <w:r>
        <w:t>Владелец интеграции — роль, ответственная за корректность работы конкретной интеграции и согласование изменений в ней.</w:t>
      </w:r>
    </w:p>
    <w:p>
      <w:pPr>
        <w:pStyle w:val="Heading2"/>
      </w:pPr>
      <w:r>
        <w:t>3. Основные интеграции предприятия</w:t>
      </w:r>
    </w:p>
    <w:p>
      <w:r>
        <w:t>3.1. Интеграция 1С:ERP Управление предприятием и ЭДО (Диадок) обеспечивает передачу данных об отгрузках и закупках для формирования УПД, счетов-фактур и актов и обратную загрузку подписанных документов в 1С:ERP.</w:t>
      </w:r>
    </w:p>
    <w:p>
      <w:r>
        <w:t>3.2. Интеграция 1С:ERP Управление предприятием и файлового сервера \\rodos-fs обеспечивает размещение печатных форм документов, сформированных в 1С:ERP, в обменных папках файлового сервера для доступа подразделений, не имеющих прямого доступа к 1С:ERP.</w:t>
      </w:r>
    </w:p>
    <w:p>
      <w:r>
        <w:t>3.3. Интеграция 1С:ERP Управление предприятием и 1С:Бухгалтерия предприятия обеспечивает передачу первичных документов для регламентированного учёта.</w:t>
      </w:r>
    </w:p>
    <w:p>
      <w:r>
        <w:t>3.4. Владельцем всех интеграций, перечисленных в настоящем разделе, является руководитель ИТ; техническую поддержку интеграций осуществляет системный администратор.</w:t>
      </w:r>
    </w:p>
    <w:p>
      <w:pPr>
        <w:pStyle w:val="Heading2"/>
      </w:pPr>
      <w:r>
        <w:t>4. Порядок изменения интеграции</w:t>
      </w:r>
    </w:p>
    <w:p>
      <w:r>
        <w:t>4.1. Изменение настроек интеграции (состав передаваемых данных, периодичность обмена, формат) производится только системным администратором и только по согласованной заявке.</w:t>
      </w:r>
    </w:p>
    <w:p>
      <w:r>
        <w:t>4.2. Заявка на изменение интеграции подаётся владельцем системы, инициирующей изменение, с указанием причины изменения и ожидаемого результата, и согласуется владельцем интеграции и владельцем второй системы, участвующей в обмене.</w:t>
      </w:r>
    </w:p>
    <w:p>
      <w:r>
        <w:t>4.3. Изменение интеграции, затрагивающей критичные системы по реестру информационных систем (ИТ-РЕЕСТР-СИСТЕМ), производится в пределах окна изменений, установленного регламентом управления изменениями (ИТ-РЕГЛ-ИЗМЕНЕНИЯ).</w:t>
      </w:r>
    </w:p>
    <w:p>
      <w:pPr>
        <w:pStyle w:val="Heading2"/>
      </w:pPr>
      <w:r>
        <w:t>5. Тестирование интеграции</w:t>
      </w:r>
    </w:p>
    <w:p>
      <w:r>
        <w:t>5.1. Перед применением изменения интеграции на рабочих системах системный администратор проводит тестирование в тестовом контуре либо на ограниченном наборе данных, не затрагивающем текущую производственную деятельность.</w:t>
      </w:r>
    </w:p>
    <w:p>
      <w:r>
        <w:t>5.2. Тестирование включает проверку корректности передачи данных в обе стороны обмена и проверку отсутствия дублирования или потери данных.</w:t>
      </w:r>
    </w:p>
    <w:p>
      <w:r>
        <w:t>5.3. Результат тестирования фиксируется системным администратором и прилагается к заявке на изменение как основание для перевода изменения в промышленную эксплуатацию.</w:t>
      </w:r>
    </w:p>
    <w:p>
      <w:pPr>
        <w:pStyle w:val="Heading2"/>
      </w:pPr>
      <w:r>
        <w:t>6. Мониторинг и реагирование на сбои</w:t>
      </w:r>
    </w:p>
    <w:p>
      <w:r>
        <w:t>6.1. Системный администратор осуществляет мониторинг работоспособности интеграций и фиксирует сбои передачи данных.</w:t>
      </w:r>
    </w:p>
    <w:p>
      <w:r>
        <w:t>6.2. При сбое интеграции, повлёкшем расхождение данных между системами, системный администратор уведомляет владельцев обеих систем не позднее 2 часов с момента обнаружения сбоя и приступает к устранению причины.</w:t>
      </w:r>
    </w:p>
    <w:p>
      <w:r>
        <w:t>6.3. Реагирование на сбой критичной интеграции производится в сроки, установленные соглашением об уровне обслуживания (ИТ-SLA-2026) для соответствующего приоритета обращения.</w:t>
      </w:r>
    </w:p>
    <w:p>
      <w:pPr>
        <w:pStyle w:val="Heading2"/>
      </w:pPr>
      <w:r>
        <w:t>7. Ответственность</w:t>
      </w:r>
    </w:p>
    <w:p>
      <w:r>
        <w:t>7.1. Ответственность за корректность работы интеграций несёт системный администратор.</w:t>
      </w:r>
    </w:p>
    <w:p>
      <w:r>
        <w:t>7.2. Ответственность за согласование изменений интеграции со стороны своей системы несёт владелец соответствующей системы.</w:t>
      </w:r>
    </w:p>
    <w:p>
      <w:r>
        <w:t>7.3. Ответственность за организацию порядка управления интеграциями в целом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