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01.12.2025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01.01.2026</w:t>
      </w:r>
    </w:p>
    <w:p>
      <w:pPr>
        <w:pStyle w:val="Title"/>
      </w:pPr>
      <w:r>
        <w:t>Порядок изменения доступов при переводе и смене должности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пересмотра доступов к информационным системам сотрудника ГК «Родос-Деталь» при переводе на другую должность, в другое подразделение или на другую площадку.</w:t>
      </w:r>
    </w:p>
    <w:p>
      <w:r>
        <w:t>1.2. Регламент обязателен для отдела кадров, непосредственных руководителей и ИТ-службы.</w:t>
      </w:r>
    </w:p>
    <w:p>
      <w:r>
        <w:t>1.3. Регламент не распространяется на случаи временного исполнения обязанностей отсутствующего сотрудника продолжительностью менее одного месяца; порядок предоставления временного доступа в таких случаях установлен регламентом согласования и выдачи доступа (ИТ-РЕГЛ-ДОСТУП).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Перевод — изменение должности, подразделения или площадки сотрудника, оформленное приказом.</w:t>
      </w:r>
    </w:p>
    <w:p>
      <w:pPr>
        <w:pStyle w:val="ListBullet"/>
      </w:pPr>
      <w:r>
        <w:t>Целевая роль — роль по ролевой модели доступа (ИТ-РБАК-МОДЕЛЬ), соответствующая новой должности сотрудника.</w:t>
      </w:r>
    </w:p>
    <w:p>
      <w:pPr>
        <w:pStyle w:val="ListBullet"/>
      </w:pPr>
      <w:r>
        <w:t>Избыточный доступ — доступ, предоставленный сотруднику на прежней должности и не предусмотренный целевой ролью.</w:t>
      </w:r>
    </w:p>
    <w:p>
      <w:pPr>
        <w:pStyle w:val="Heading2"/>
      </w:pPr>
      <w:r>
        <w:t>3. Принцип пересмотра доступов</w:t>
      </w:r>
    </w:p>
    <w:p>
      <w:r>
        <w:t>3.1. При переводе доступ сотрудника приводится в соответствие с целевой ролью: доступы, не предусмотренные целевой ролью, отзываются, а недостающие — предоставляются заново.</w:t>
      </w:r>
    </w:p>
    <w:p>
      <w:r>
        <w:t>3.2. Персональные исключения из объёма доступа целевой роли не допускаются; принцип единообразия роли закреплён ролевой моделью доступа (ИТ-РБАК-МОДЕЛЬ, п. 2).</w:t>
      </w:r>
    </w:p>
    <w:p>
      <w:r>
        <w:t>3.3. Автоматический перенос всех прежних доступов на новую должность без пересмотра запрещается.</w:t>
      </w:r>
    </w:p>
    <w:p>
      <w:pPr>
        <w:pStyle w:val="Heading2"/>
      </w:pPr>
      <w:r>
        <w:t>4. Порядок оформления перевода</w:t>
      </w:r>
    </w:p>
    <w:p>
      <w:r>
        <w:t>4.1. Отдел кадров направляет в службу поддержки уведомление о переводе не позднее чем за 3 рабочих дня до даты перевода, указанной в приказе.</w:t>
      </w:r>
    </w:p>
    <w:p>
      <w:r>
        <w:t>4.2. В уведомлении указываются: фамилия, имя, отчество сотрудника, прежняя и новая должность, прежнее и новое подразделение, площадка и дата перевода.</w:t>
      </w:r>
    </w:p>
    <w:p>
      <w:r>
        <w:t>4.3. Непосредственный руководитель по новой должности определяет целевую роль сотрудника по ролевой модели доступа и указывает её в заявке на доступ.</w:t>
      </w:r>
    </w:p>
    <w:p>
      <w:pPr>
        <w:pStyle w:val="Heading2"/>
      </w:pPr>
      <w:r>
        <w:t>5. Отзыв избыточного доступа</w:t>
      </w:r>
    </w:p>
    <w:p>
      <w:r>
        <w:t>5.1. Системный администратор выявляет избыточный доступ сотрудника путём сравнения текущего состава его доступов с составом, предусмотренным целевой ролью по матрице доступа (ИТ-РБАК-МАТРИЦА).</w:t>
      </w:r>
    </w:p>
    <w:p>
      <w:r>
        <w:t>5.2. Избыточный доступ отзывается не позднее дня перевода, указанного в приказе.</w:t>
      </w:r>
    </w:p>
    <w:p>
      <w:r>
        <w:t>5.3. Если перевод связан со сменой площадки, одновременно с отзывом избыточного доступа к информационным системам пересматривается пропуск в системе контроля доступа (СКУД) для прежней площадки.</w:t>
      </w:r>
    </w:p>
    <w:p>
      <w:pPr>
        <w:pStyle w:val="Heading2"/>
      </w:pPr>
      <w:r>
        <w:t>6. Предоставление недостающего доступа</w:t>
      </w:r>
    </w:p>
    <w:p>
      <w:r>
        <w:t>6.1. Недостающий доступ, предусмотренный целевой ролью, предоставляется в порядке, установленном регламентом согласования и выдачи доступа (ИТ-РЕГЛ-ДОСТУП), не позднее 3 рабочих дней с даты перевода.</w:t>
      </w:r>
    </w:p>
    <w:p>
      <w:r>
        <w:t>6.2. До предоставления полного объёма доступа целевой роли непосредственный руководитель по новой должности определяет минимально необходимый набор систем для начала работы в первый день на новой должности.</w:t>
      </w:r>
    </w:p>
    <w:p>
      <w:r>
        <w:t>6.3. Если целевая роль предполагает доступ к 1С:ERP Управление предприятием или 1С:Бухгалтерия предприятия, предоставление такого доступа согласуется в дополнительном порядке, установленном пунктом 3 регламента ИТ-РЕГЛ-ДОСТУП, — как для систем с бизнес-владельцем.</w:t>
      </w:r>
    </w:p>
    <w:p>
      <w:pPr>
        <w:pStyle w:val="Heading2"/>
      </w:pPr>
      <w:r>
        <w:t>7. Особые случаи</w:t>
      </w:r>
    </w:p>
    <w:p>
      <w:r>
        <w:t>7.1. При переводе на должность, предусматривающую доступ к привилегированным учётным записям (руководитель ИТ, системный администратор), решение о предоставлении такого доступа принимает руководитель ИТ дополнительно к согласованию по ролевой модели.</w:t>
      </w:r>
    </w:p>
    <w:p>
      <w:r>
        <w:t>7.2. При переводе с должности, предусматривающей доступ к привилегированным учётным записям, на должность без такого доступа пароли соответствующих служебных и общих учётных записей меняются в течение 1 рабочего дня с даты перевода.</w:t>
      </w:r>
    </w:p>
    <w:p>
      <w:r>
        <w:t>7.3. При понижении в должности в связи с дисциплинарным взысканием пересмотр доступа производится в порядке, установленном пунктом 3.2 чек-листа отзыва доступов при увольнении (ИТ-ЧК-OFFBOARD), с блокировкой избыточного доступа в день издания приказа.</w:t>
      </w:r>
    </w:p>
    <w:p>
      <w:pPr>
        <w:pStyle w:val="Heading2"/>
      </w:pPr>
      <w:r>
        <w:t>8. Учёт изменений</w:t>
      </w:r>
    </w:p>
    <w:p>
      <w:r>
        <w:t>8.1. Системный администратор фиксирует факт пересмотра доступа при переводе в заявке на доступ с указанием отозванных и предоставленных систем.</w:t>
      </w:r>
    </w:p>
    <w:p>
      <w:r>
        <w:t>8.2. Заявки на доступ, связанные с переводом, хранятся в ИТ-службе не менее срока хранения личного дела сотрудника.</w:t>
      </w:r>
    </w:p>
    <w:p>
      <w:pPr>
        <w:pStyle w:val="Heading2"/>
      </w:pPr>
      <w:r>
        <w:t>9. Ответственность</w:t>
      </w:r>
    </w:p>
    <w:p>
      <w:r>
        <w:t>9.1. Ответственность за своевременное уведомление ИТ-службы о переводе несёт отдел кадров.</w:t>
      </w:r>
    </w:p>
    <w:p>
      <w:r>
        <w:t>9.2. Ответственность за корректное определение целевой роли несёт непосредственный руководитель по новой должности.</w:t>
      </w:r>
    </w:p>
    <w:p>
      <w:r>
        <w:t>9.3. Ответственность за своевременный отзыв избыточного доступа и предоставление недостающего несёт системный администратор.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