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Руководитель ИТ</w:t>
      </w:r>
    </w:p>
    <w:p>
      <w:r>
        <w:rPr>
          <w:i/>
        </w:rPr>
        <w:t>Дата утверждения: 15.10.2025</w:t>
      </w:r>
    </w:p>
    <w:p>
      <w:r>
        <w:rPr>
          <w:i/>
        </w:rPr>
        <w:t>Редакция: ред. 1</w:t>
      </w:r>
    </w:p>
    <w:p>
      <w:r>
        <w:rPr>
          <w:i/>
        </w:rPr>
        <w:t>Вводится в действие с 01.11.2025</w:t>
      </w:r>
    </w:p>
    <w:p>
      <w:pPr>
        <w:pStyle w:val="Title"/>
      </w:pPr>
      <w:r>
        <w:t>Правила использования корпоративной почты</w:t>
      </w:r>
    </w:p>
    <w:p>
      <w:pPr>
        <w:pStyle w:val="Heading2"/>
      </w:pPr>
      <w:r>
        <w:t>1. Назначение и область применения</w:t>
      </w:r>
    </w:p>
    <w:p>
      <w:r>
        <w:t>1.1. Настоящие правила устанавливают порядок использования корпоративной почты (Exchange) ГК «Родос-Деталь» всеми сотрудниками, имеющими персональный почтовый ящик.</w:t>
      </w:r>
    </w:p>
    <w:p>
      <w:r>
        <w:t>1.2. Правила распространяются также на общие почтовые ящики подразделений (zakaz@, reklamacii@, snab@ и иные, создаваемые в установленном порядке).</w:t>
      </w:r>
    </w:p>
    <w:p>
      <w:r>
        <w:t>1.3. Корпоративная почта предназначена для служебной переписки; использование в личных целях допускается в объёме, не создающем угроз информационной безопасности и не мешающем исполнению служебных обязанностей.</w:t>
      </w:r>
    </w:p>
    <w:p>
      <w:pPr>
        <w:pStyle w:val="Heading2"/>
      </w:pPr>
      <w:r>
        <w:t>2. Термины и сокращения</w:t>
      </w:r>
    </w:p>
    <w:p>
      <w:pPr>
        <w:pStyle w:val="ListBullet"/>
      </w:pPr>
      <w:r>
        <w:t>Почтовый ящик — область хранения входящей и исходящей корреспонденции, закреплённая за учётной записью сотрудника или подразделением.</w:t>
      </w:r>
    </w:p>
    <w:p>
      <w:pPr>
        <w:pStyle w:val="ListBullet"/>
      </w:pPr>
      <w:r>
        <w:t>Фишинг — мошенническое электронное письмо, имитирующее легитимного отправителя с целью получить учётные данные или заставить получателя выполнить вредоносное действие.</w:t>
      </w:r>
    </w:p>
    <w:p>
      <w:pPr>
        <w:pStyle w:val="Heading2"/>
      </w:pPr>
      <w:r>
        <w:t>3. Размер и хранение почтового ящика</w:t>
      </w:r>
    </w:p>
    <w:p>
      <w:r>
        <w:t>3.1. Максимальный размер персонального почтового ящика составляет 10 гигабайт.</w:t>
      </w:r>
    </w:p>
    <w:p>
      <w:r>
        <w:t>3.2. При достижении 90 % от установленного размера сотруднику направляется автоматическое уведомление о необходимости очистки ящика.</w:t>
      </w:r>
    </w:p>
    <w:p>
      <w:r>
        <w:t>3.3. Письма во входящих и отправленных папках хранятся без ограничения срока в пределах установленного размера ящика; удаление писем по истечении срока в плановом порядке не производится.</w:t>
      </w:r>
    </w:p>
    <w:p>
      <w:r>
        <w:t>3.4. Письма, удалённые пользователем, хранятся в папке «Удалённые» 30 календарных дней, после чего удаляются без возможности восстановления.</w:t>
      </w:r>
    </w:p>
    <w:p>
      <w:pPr>
        <w:pStyle w:val="Heading2"/>
      </w:pPr>
      <w:r>
        <w:t>4. Пересылка на внешние адреса</w:t>
      </w:r>
    </w:p>
    <w:p>
      <w:r>
        <w:t>4.1. Автоматическая пересылка корпоративной почты на внешние (не в зоне example.com) почтовые адреса запрещается без письменного согласования руководителя ИТ.</w:t>
      </w:r>
    </w:p>
    <w:p>
      <w:r>
        <w:t>4.2. Разовая пересылка отдельного письма внешнему адресату допускается в рамках служебной необходимости при условии, что письмо не содержит сведений, составляющих коммерческую тайну (ПОЛ-КТ-001), без предварительного согласования, установленного разделом 4 положения ПОЛ-КТ-001.</w:t>
      </w:r>
    </w:p>
    <w:p>
      <w:r>
        <w:t>4.3. Пересылка документов с грифом «для служебного пользования» (ДСП) на внешние адреса запрещается.</w:t>
      </w:r>
    </w:p>
    <w:p>
      <w:pPr>
        <w:pStyle w:val="Heading2"/>
      </w:pPr>
      <w:r>
        <w:t>5. Вложения</w:t>
      </w:r>
    </w:p>
    <w:p>
      <w:r>
        <w:t>5.1. Максимальный размер вложения к одному письму составляет 25 мегабайт; для передачи файлов большего размера используется файловый сервер \\rodos-fs с направлением получателю ссылки на файл.</w:t>
      </w:r>
    </w:p>
    <w:p>
      <w:r>
        <w:t>5.2. Запрещается открывать вложения от неизвестных отправителей и вложения с исполняемыми файлами (расширения .exe, .bat, .cmd, .vbs, .js) независимо от отправителя.</w:t>
      </w:r>
    </w:p>
    <w:p>
      <w:r>
        <w:t>5.3. Вложения с макросами в документах офисного пакета открываются только с отключёнными макросами, если отправитель и содержание письма не позволяют однозначно установить их безопасность.</w:t>
      </w:r>
    </w:p>
    <w:p>
      <w:pPr>
        <w:pStyle w:val="Heading2"/>
      </w:pPr>
      <w:r>
        <w:t>6. Признаки фишинга и порядок действий</w:t>
      </w:r>
    </w:p>
    <w:p>
      <w:r>
        <w:t>6.1. Признаками фишингового письма являются: несоответствие адреса отправителя ожидаемому домену, требование срочно перейти по ссылке или ввести пароль, орфографические ошибки и нетипичное для отправителя обращение, вложение с неожиданным для контекста переписки содержанием.</w:t>
      </w:r>
    </w:p>
    <w:p>
      <w:r>
        <w:t>6.2. При получении письма с признаками фишинга сотрудник не переходит по ссылкам, не открывает вложения и не отвечает на письмо, а направляет его в службу поддержки как заявку с пометкой «подозрение на фишинг».</w:t>
      </w:r>
    </w:p>
    <w:p>
      <w:r>
        <w:t>6.3. При переходе по ссылке или вводе учётных данных на подозрительном ресурсе сотрудник немедленно сообщает об этом в службу поддержки; системный администратор незамедлительно меняет пароль учётной записи сотрудника.</w:t>
      </w:r>
    </w:p>
    <w:p>
      <w:pPr>
        <w:pStyle w:val="Heading2"/>
      </w:pPr>
      <w:r>
        <w:t>7. Запреты при использовании почты</w:t>
      </w:r>
    </w:p>
    <w:p>
      <w:r>
        <w:t>7.1. Запрещается использование личной электронной почты для получения и отправки служебной корреспонденции.</w:t>
      </w:r>
    </w:p>
    <w:p>
      <w:r>
        <w:t>7.2. Запрещается передача учётных данных от почтового ящика другим лицам, включая коллег по подразделению.</w:t>
      </w:r>
    </w:p>
    <w:p>
      <w:r>
        <w:t>7.3. Запрещается использование корпоративной почты для рассылок, не связанных со служебной деятельностью, в том числе массовых рассылок сторонним организациям без служебной необходимости.</w:t>
      </w:r>
    </w:p>
    <w:p>
      <w:pPr>
        <w:pStyle w:val="Heading2"/>
      </w:pPr>
      <w:r>
        <w:t>8. Ответственность</w:t>
      </w:r>
    </w:p>
    <w:p>
      <w:r>
        <w:t>8.1. Ответственность за соблюдение настоящих правил несёт каждый сотрудник, использующий корпоративную почту.</w:t>
      </w:r>
    </w:p>
    <w:p>
      <w:r>
        <w:t>8.2. Ответственность за администрирование почтовой системы, включая настройку размеров ящиков и правил пересылки, несёт системный администратор.</w:t>
      </w:r>
    </w:p>
    <w:p>
      <w:r>
        <w:t>8.3. Ответственность за организацию контроля соблюдения правил использования почты несёт руководитель ИТ.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