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25.03.2026</w:t>
      </w:r>
    </w:p>
    <w:p>
      <w:r>
        <w:rPr>
          <w:i/>
        </w:rPr>
        <w:t>Вводится в действие с 01.04.2026</w:t>
      </w:r>
    </w:p>
    <w:p>
      <w:pPr>
        <w:pStyle w:val="Title"/>
      </w:pPr>
      <w:r>
        <w:t>Релиз-ноты ЭДО, март 2026 года: переход на новую версию формата УПД</w:t>
      </w:r>
    </w:p>
    <w:p>
      <w:pPr>
        <w:pStyle w:val="Heading2"/>
      </w:pPr>
      <w:r>
        <w:t>1. Что изменилось</w:t>
      </w:r>
    </w:p>
    <w:p>
      <w:r>
        <w:t>1.1. Система электронного документооборота «Диадок» (далее — ЭДО) переведена на новую версию формата универсального передаточного документа (УПД). Формирование, подписание и приём УПД как в исходящем, так и во входящем направлении выполняются уже в новой версии формата.</w:t>
      </w:r>
    </w:p>
    <w:p>
      <w:r>
        <w:t>1.2. Изменение выполнено на стороне оператора ЭДО и затрагивает структуру электронного файла документа; печатная форма УПД для сотрудников визуально не меняется.</w:t>
      </w:r>
    </w:p>
    <w:p>
      <w:r>
        <w:t>1.3. Документы, отправленные и полученные до 01.04.2026 в прежней версии формата, сохраняют силу и не требуют переоформления.</w:t>
      </w:r>
    </w:p>
    <w:p>
      <w:pPr>
        <w:pStyle w:val="Heading2"/>
      </w:pPr>
      <w:r>
        <w:t>2. Для кого</w:t>
      </w:r>
    </w:p>
    <w:p>
      <w:r>
        <w:t>2.1. Изменение затрагивает главного бухгалтера и бухгалтера по расчётам с контрагентами при отправке и приёме УПД (см. ИТ-ИНС-04 и ИТ-ИНС-05).</w:t>
      </w:r>
    </w:p>
    <w:p>
      <w:r>
        <w:t>2.2. Контрагенты, работающие в системах ЭДО других операторов, получают документы в новом формате автоматически через межоператорский роуминг — дополнительных действий со стороны предприятия для этого не требуется.</w:t>
      </w:r>
    </w:p>
    <w:p>
      <w:pPr>
        <w:pStyle w:val="Heading2"/>
      </w:pPr>
      <w:r>
        <w:t>3. Что нужно сделать пользователю</w:t>
      </w:r>
    </w:p>
    <w:p>
      <w:r>
        <w:t>3.1. Отдельных действий по настройке не требуется — переход выполнен на стороне оператора ЭДО и не требует переустановки или обновления рабочего места бухгалтера.</w:t>
      </w:r>
    </w:p>
    <w:p>
      <w:r>
        <w:t>3.2. При первой отправке или приёме документа в новом формате после 01.04.2026 рекомендуется дополнительно свериться со статусом документа в ЭДО, чтобы убедиться в успешном приёме на стороне контрагента.</w:t>
      </w:r>
    </w:p>
    <w:p>
      <w:pPr>
        <w:pStyle w:val="Heading2"/>
      </w:pPr>
      <w:r>
        <w:t>4. Известные ограничения</w:t>
      </w:r>
    </w:p>
    <w:p>
      <w:r>
        <w:t>4.1. Отдельные контрагенты, чьи системы ЭДО ещё не поддерживают новую версию формата на момент перехода, могут временно отклонять документы с указанием причины «неподдерживаемая версия формата» — в этом случае документ переоформляется в прежней версии формата по согласованию с контрагентом до момента его перехода.</w:t>
      </w:r>
    </w:p>
    <w:p>
      <w:r>
        <w:t>4.2. История документов, отправленных в прежней версии формата, доступна в ЭДО без ограничений и продолжает отображаться корректно.</w:t>
      </w:r>
    </w:p>
    <w:p>
      <w:r>
        <w:t>4.3. Печать документа из старого архива производится в том виде, в котором он был подписан, — печатная форма не пересобирается в новом формате задним числом.</w:t>
      </w:r>
    </w:p>
    <w:p>
      <w:pPr>
        <w:pStyle w:val="Heading2"/>
      </w:pPr>
      <w:r>
        <w:t>5. Сроки</w:t>
      </w:r>
    </w:p>
    <w:p>
      <w:r>
        <w:t>5.1. Новая версия формата действует с 01.04.2026. Инструкции ИТ-ИНС-04 и ИТ-ИНС-05 обновлены и действуют уже с учётом этого изменения.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