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23.06.2026</w:t>
      </w:r>
    </w:p>
    <w:p>
      <w:pPr>
        <w:pStyle w:val="Title"/>
      </w:pPr>
      <w:r>
        <w:t>Акт о браке по детали 45.67.89 от 23.06.2026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45.67.89 «Вал выходной редуктора Р-160» выявлено превышение радиального биения сверх нормы чертежа.</w:t>
      </w:r>
    </w:p>
    <w:p>
      <w:r>
        <w:t>1.2. Количество забракованных деталей: 4 шт. из партии 120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износ центров станка 3М151, инв. № ОС-1066.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детали направлены на перешлифовку, партия заказчику не отгружена.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разбора: по рекламации АО «Редмаш» оформлен отчёт 8D-2026-01 и извещение ИЗВ-2026-004.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