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16.07.2026</w:t>
      </w:r>
    </w:p>
    <w:p>
      <w:pPr>
        <w:pStyle w:val="Title"/>
      </w:pPr>
      <w:r>
        <w:t>Разбор инцидента: отказ выпрямителя линии цинкования АГ-40, аварийная остановка, цех №4, Пермь, 09.07.2026</w:t>
      </w:r>
    </w:p>
    <w:p>
      <w:pPr>
        <w:pStyle w:val="Heading2"/>
      </w:pPr>
      <w:r>
        <w:t>1. Событие</w:t>
      </w:r>
    </w:p>
    <w:p>
      <w:r>
        <w:t>1.1. Дата и время: 09.07.2026, 06:40–04:30 (следующие сутки), первая, вторая и третья смены.</w:t>
      </w:r>
    </w:p>
    <w:p>
      <w:r>
        <w:t>1.2. Место: Пермская площадка, цех №4, гальванический, линия цинкования.</w:t>
      </w:r>
    </w:p>
    <w:p>
      <w:r>
        <w:t>1.3. Оборудование: линия цинкования, автооператорная АГ-40, инвентарный номер ОС-0903, паспорт ПС-ОС-0903. Линия отнесена к опасному производственному объекту, обслуживается по наряду-допуску.</w:t>
      </w:r>
    </w:p>
    <w:p>
      <w:r>
        <w:t>1.4. Обрабатываемая партия на момент отказа: детали 73.22.34 «Крышка гидроцилиндра передняя ГЦ-100/56» (60 шт., заказчик АО «Гидромаш-Юг») и 88.14.42 «Фланец присоединительный ø160» (120 шт., заказчик ООО «Конвейер-Системс»), обе позиции — операция 060 цинкование, покрытие Ц9.хр по ГОСТ 9.306-85.</w:t>
      </w:r>
    </w:p>
    <w:p>
      <w:pPr>
        <w:pStyle w:val="Heading2"/>
      </w:pPr>
      <w:r>
        <w:t>2. Хронология</w:t>
      </w:r>
    </w:p>
    <w:p>
      <w:r>
        <w:t>2.1. 06:40 — линия запущена в работу по графику первой смены, партии деталей 73.22.34 и 88.14.42 поданы на автооператорную загрузку ванн цинкования.</w:t>
      </w:r>
    </w:p>
    <w:p>
      <w:r>
        <w:t>2.2. 08:55 — оператор линии отметил повышенный гул и запах разогретой изоляции со стороны шкафа выпрямителя постоянного тока, температура на корпусе выпрямителя визуально выше обычной.</w:t>
      </w:r>
    </w:p>
    <w:p>
      <w:r>
        <w:t>2.3. 09:10 — оператор доложил мастеру участка, линия переведена в режим ожидания без снятия деталей из ванн.</w:t>
      </w:r>
    </w:p>
    <w:p>
      <w:r>
        <w:t>2.4. 09:25 — сработала тепловая защита выпрямителя, силовой блок отключился самопроизвольно; ток на ваннах цинкования пропал.</w:t>
      </w:r>
    </w:p>
    <w:p>
      <w:r>
        <w:t>2.5. 09:30 — мастер участка остановил линию и вызвал службу главного механика и инженера по охране труда в связи со статусом опасного производственного объекта.</w:t>
      </w:r>
    </w:p>
    <w:p>
      <w:r>
        <w:t>2.6. 09:45 — осмотр выявил выход из строя силовых тиристорных блоков выпрямителя вследствие перегрева; ремонт на месте невозможен, требуется замена агрегата.</w:t>
      </w:r>
    </w:p>
    <w:p>
      <w:r>
        <w:t>2.7. 10:00 — начальник цеха и главный механик приняли решение о аварийной остановке линии на неопределённый срок и об организованном сливе деталей из ванн без токовой нагрузки.</w:t>
      </w:r>
    </w:p>
    <w:p>
      <w:r>
        <w:t>2.8. 10:15 — деталь снята из ванн вручную по инструкции безопасного обращения с гальваническими ваннами; персонал в средствах защиты по ИОТ-021.</w:t>
      </w:r>
    </w:p>
    <w:p>
      <w:r>
        <w:t>2.9. 10:40 — начальник цеха №4 совместно с инженером по охране труда приняли меры по недопущению залпового сброса в систему нейтрализации стоков: отключена промывочная каскадная линия, растворы из ванн временно локализованы в границах участка, залповый сброс в систему нейтрализации не допущен.</w:t>
      </w:r>
    </w:p>
    <w:p>
      <w:r>
        <w:t>2.10. 11:20 — оформлена аварийная заявка на ремонт ЗРМ-2026-03 на замену выпрямителя, вне графика ППР.</w:t>
      </w:r>
    </w:p>
    <w:p>
      <w:r>
        <w:t>2.11. 13:00 — отдел снабжения направил срочный заказ поставщику электротехнического оборудования на комплект силовых блоков выпрямителя.</w:t>
      </w:r>
    </w:p>
    <w:p>
      <w:r>
        <w:t>2.12. 09.07.2026, 18:00 — начата демонтаж повреждённого выпрямителя силами подрядной организации по договору ТНЭ-2025 (экспертиза и наладка электротехнического оборудования) совместно со службой главного механика.</w:t>
      </w:r>
    </w:p>
    <w:p>
      <w:r>
        <w:t>2.13. 10.07.2026, 02:30 — новый выпрямитель смонтирован и подключён, проведена проверка изоляции и заземления.</w:t>
      </w:r>
    </w:p>
    <w:p>
      <w:r>
        <w:t>2.14. 10.07.2026, 04:30 — линия цинкования запущена в тестовом режиме без загрузки, параметры в норме; линия допущена к работе с 05:00.</w:t>
      </w:r>
    </w:p>
    <w:p>
      <w:pPr>
        <w:pStyle w:val="Heading2"/>
      </w:pPr>
      <w:r>
        <w:t>3. Последствия</w:t>
      </w:r>
    </w:p>
    <w:p>
      <w:r>
        <w:t>3.1. Простой линии цинкования: 46 часов (09:25 09.07.2026 — 04:30 (05:00 фактический пуск с загрузкой) 10.07.2026, с учётом времени на демонтаж, монтаж и проверку).</w:t>
      </w:r>
    </w:p>
    <w:p>
      <w:r>
        <w:t>3.2. Брак: партия деталей в ваннах на момент отказа забракована полностью — 60 шт. 73.22.34 и 120 шт. 88.14.42, покрытие не выдержано по толщине и равномерности из-за прерванного цикла. Ориентировочная стоимость брака по прайсовым ценам детали 73.22.34 (8 100 ₽ за шт.) — около 486 000 ₽, без учёта стоимости заготовок 88.14.42.</w:t>
      </w:r>
    </w:p>
    <w:p>
      <w:r>
        <w:t>3.3. Сорван сменное задание линии цинкования на 09.07.2026 и 10.07.2026 в полном объёме; отгрузка по трём заказам (Гидромаш-Юг, Конвейер-Системс) перенесена.</w:t>
      </w:r>
    </w:p>
    <w:p>
      <w:r>
        <w:t>3.4. Ущерб по оборудованию: полная замена выпрямителя постоянного тока линии АГ-40, стоимость учтена по заявке ЗРМ-2026-03 и договору с подрядной организацией.</w:t>
      </w:r>
    </w:p>
    <w:p>
      <w:r>
        <w:t>3.5. Экологических и санитарных последствий не допущено: залповый сброс электролита в систему нейтрализации стоков предотвращён организованными действиями персонала цеха.</w:t>
      </w:r>
    </w:p>
    <w:p>
      <w:pPr>
        <w:pStyle w:val="Heading2"/>
      </w:pPr>
      <w:r>
        <w:t>4. Непосредственная причина</w:t>
      </w:r>
    </w:p>
    <w:p>
      <w:r>
        <w:t>4.1. Перегрев и выход из строя силовых тиристорных блоков выпрямителя постоянного тока линии АГ-40 вследствие превышения допустимой тепловой нагрузки при длительной непрерывной работе без остановки на охлаждение.</w:t>
      </w:r>
    </w:p>
    <w:p>
      <w:pPr>
        <w:pStyle w:val="Heading2"/>
      </w:pPr>
      <w:r>
        <w:t>5. Коренная причина (5 почему)</w:t>
      </w:r>
    </w:p>
    <w:p>
      <w:pPr>
        <w:pStyle w:val="ListBullet"/>
      </w:pPr>
      <w:r>
        <w:t>Почему вышел из строя выпрямитель? Потому что силовые блоки перегрелись сверх допустимого при длительной непрерывной нагрузке.</w:t>
      </w:r>
    </w:p>
    <w:p>
      <w:pPr>
        <w:pStyle w:val="ListBullet"/>
      </w:pPr>
      <w:r>
        <w:t>Почему допущена длительная непрерывная нагрузка без остановки на охлаждение? Потому что режим работы выпрямителя не предусматривает плановых технологических пауз, а признаки постепенного перегрева ранее не воспринимались как повод для остановки.</w:t>
      </w:r>
    </w:p>
    <w:p>
      <w:pPr>
        <w:pStyle w:val="ListBullet"/>
      </w:pPr>
      <w:r>
        <w:t>Почему признаки перегрева не воспринимались как повод для остановки? Потому что аналогичные отклонения на линии АГ-40 ранее фиксировались как нестабильность качества покрытия (отчёт 8D-2026-02), а не как предвестник отказа силового оборудования выпрямителя.</w:t>
      </w:r>
    </w:p>
    <w:p>
      <w:pPr>
        <w:pStyle w:val="ListBullet"/>
      </w:pPr>
      <w:r>
        <w:t>Почему связь между нестабильностью покрытия и состоянием выпрямителя не была установлена раньше? Потому что технологический регламент линии цинкования на момент инцидента не содержал требований по контролю теплового состояния выпрямителя и порядка его периодической остановки для охлаждения.</w:t>
      </w:r>
    </w:p>
    <w:p>
      <w:pPr>
        <w:pStyle w:val="ListBullet"/>
      </w:pPr>
      <w:r>
        <w:t>Почему регламент не содержал таких требований? Потому что технологический регламент линии цинкования АГ-40 (ТЕХ-РЕГЛ-001) на момент инцидента разрабатывался и не был введён в действие в части эксплуатационных ограничений по выпрямителю.</w:t>
      </w:r>
    </w:p>
    <w:p>
      <w:pPr>
        <w:pStyle w:val="Heading2"/>
      </w:pPr>
      <w:r>
        <w:t>6. Что сработало и что не сработало</w:t>
      </w:r>
    </w:p>
    <w:p>
      <w:r>
        <w:t>6.1. Сработало: тепловая защита выпрямителя отключила силовой блок и предотвратила возгорание и более тяжёлые последствия.</w:t>
      </w:r>
    </w:p>
    <w:p>
      <w:r>
        <w:t>6.2. Сработало: персонал цеха своевременно локализовал растворы в ваннах и не допустил залпового сброса в систему нейтрализации стоков — ключевой результат разбора.</w:t>
      </w:r>
    </w:p>
    <w:p>
      <w:r>
        <w:t>6.3. Сработало: оперативное взаимодействие главного механика, отдела снабжения и подрядной организации сократило простой до 46 часов вместо ожидавшихся нескольких суток.</w:t>
      </w:r>
    </w:p>
    <w:p>
      <w:r>
        <w:t>6.4. Не сработало: ранние признаки перегрева выпрямителя (эпизоды нестабильности покрытия, зафиксированные в 8D-2026-02) не были связаны с техническим состоянием силового оборудования и не повлекли внеплановой диагностики.</w:t>
      </w:r>
    </w:p>
    <w:p>
      <w:r>
        <w:t>6.5. Не сработало: технологический регламент линии на момент инцидента не устанавливал предельно допустимую непрерывную продолжительность работы выпрямителя и порядок его периодической остановки.</w:t>
      </w:r>
    </w:p>
    <w:p>
      <w:pPr>
        <w:pStyle w:val="Heading2"/>
      </w:pPr>
      <w:r>
        <w:t>7.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Ввести в технологический регламент линии цинкования (ТЕХ-РЕГЛ-001) предельную непрерывную продолжительность работы выпрямителя и порядок плановых остановок на охлаждение</w:t>
            </w:r>
          </w:p>
        </w:tc>
        <w:tc>
          <w:tcPr>
            <w:tcW w:type="dxa" w:w="2160"/>
          </w:tcPr>
          <w:p>
            <w:r>
              <w:t>Главный технолог</w:t>
            </w:r>
          </w:p>
        </w:tc>
        <w:tc>
          <w:tcPr>
            <w:tcW w:type="dxa" w:w="2160"/>
          </w:tcPr>
          <w:p>
            <w:r>
              <w:t>15.08.2026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Пересмотреть инструкцию по охране труда на гальваническом участке ИОТ-021 до ред. 2 с учётом действий по недопущению залпового сброса при аварийной остановке линии</w:t>
            </w:r>
          </w:p>
        </w:tc>
        <w:tc>
          <w:tcPr>
            <w:tcW w:type="dxa" w:w="2160"/>
          </w:tcPr>
          <w:p>
            <w:r>
              <w:t>Инженер по охране труда</w:t>
            </w:r>
          </w:p>
        </w:tc>
        <w:tc>
          <w:tcPr>
            <w:tcW w:type="dxa" w:w="2160"/>
          </w:tcPr>
          <w:p>
            <w:r>
              <w:t>15.08.2026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Внести внеплановую позицию в график ППР на диагностику силовых блоков выпрямителя линии хромирования АГ-25Х по аналогии с отказавшим оборудованием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23.07.2026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Издать приказ по предприятию по итогам инцидента с указанием мер по недопущению повторения и порядком уведомления при аналогичных отклонениях</w:t>
            </w:r>
          </w:p>
        </w:tc>
        <w:tc>
          <w:tcPr>
            <w:tcW w:type="dxa" w:w="2160"/>
          </w:tcPr>
          <w:p>
            <w:r>
              <w:t>Технический директор</w:t>
            </w:r>
          </w:p>
        </w:tc>
        <w:tc>
          <w:tcPr>
            <w:tcW w:type="dxa" w:w="2160"/>
          </w:tcPr>
          <w:p>
            <w:r>
              <w:t>16.07.2026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Проанализировать связь ранее зафиксированной нестабильности покрытия (8D-2026-02) с тепловым состоянием выпрямителя и дополнить выводы 8D-2026-02</w:t>
            </w:r>
          </w:p>
        </w:tc>
        <w:tc>
          <w:tcPr>
            <w:tcW w:type="dxa" w:w="2160"/>
          </w:tcPr>
          <w:p>
            <w:r>
              <w:t>Главный технолог</w:t>
            </w:r>
          </w:p>
        </w:tc>
        <w:tc>
          <w:tcPr>
            <w:tcW w:type="dxa" w:w="2160"/>
          </w:tcPr>
          <w:p>
            <w:r>
              <w:t>30.07.2026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Провести внеплановую проверку заземления и изоляции нового выпрямителя через 30 суток эксплуатации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09.08.2026</w:t>
            </w:r>
          </w:p>
        </w:tc>
      </w:tr>
    </w:tbl>
    <w:p>
      <w:pPr>
        <w:pStyle w:val="Heading2"/>
      </w:pPr>
      <w:r>
        <w:t>8. Контроль исполнения</w:t>
      </w:r>
    </w:p>
    <w:p>
      <w:r>
        <w:t>8.1. Отметки о выполнении мероприятий вносятся в журнал контроля мероприятий цеха №4 и докладываются на еженедельном совещании по качеству.</w:t>
      </w:r>
    </w:p>
    <w:p>
      <w:r>
        <w:t>8.2. Контроль исполнения возлагается на главного механика совместно с инженером по охране труда, итоговый доклад техническому директору — до 20.08.2026.</w:t>
      </w:r>
    </w:p>
    <w:p>
      <w:r>
        <w:t>8.3. Паспорт оборудования ПС-ОС-0903 актуализирован записью о замене выпрямителя от 10.07.2026.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