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21.04.2026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04.05.2026</w:t>
      </w:r>
    </w:p>
    <w:p>
      <w:pPr>
        <w:pStyle w:val="Title"/>
      </w:pPr>
      <w:r>
        <w:t>Порядок выдачи, учёта и заточки режущего инструмента</w:t>
      </w:r>
    </w:p>
    <w:p>
      <w:pPr>
        <w:pStyle w:val="Heading2"/>
      </w:pPr>
      <w:r>
        <w:t>1. Общие положения</w:t>
      </w:r>
    </w:p>
    <w:p>
      <w:r>
        <w:t>1.1. Настоящая инструкция устанавливает порядок выдачи, учёта, сдачи, заточки и списания режущего инструмента на Ковровской площадке.</w:t>
      </w:r>
    </w:p>
    <w:p>
      <w:r>
        <w:t>1.2. Инструкция обязательна для инструментального хозяйства, станочников цеха № 1 и цеха № 2, мастеров участков этих цехов.</w:t>
      </w:r>
    </w:p>
    <w:p>
      <w:r>
        <w:t>1.3. К режущему инструменту, на который распространяется инструкция, относятся, в частности, пластины сменные CNMG 120408, фрезы торцевые ø63, свёрла ø12 Р6М5 и круги шлифовальные 600×63×305 25А.</w:t>
      </w:r>
    </w:p>
    <w:p>
      <w:pPr>
        <w:pStyle w:val="Heading2"/>
      </w:pPr>
      <w:r>
        <w:t>2. Выдача инструмента по лимитно-заборной карте</w:t>
      </w:r>
    </w:p>
    <w:p>
      <w:r>
        <w:t>2.1. Выдача режущего инструмента станочникам производится инструментальным хозяйством по лимитно-заборной карте цеха на текущий месяц, например ЛЗК-2026-09.</w:t>
      </w:r>
    </w:p>
    <w:p>
      <w:r>
        <w:t>2.2. Лимитно-заборная карта содержит установленный на месяц лимит по каждой позиции инструмента и остаток лимита после каждой выдачи; выдачу сверх установленного лимита кладовщик инструментального хозяйства не производит без письменного разрешения мастера участка.</w:t>
      </w:r>
    </w:p>
    <w:p>
      <w:r>
        <w:t>2.3. Получение инструмента станочник подтверждает подписью в лимитно-заборной карте в день выдачи.</w:t>
      </w:r>
    </w:p>
    <w:p>
      <w:r>
        <w:t>2.4. Дорогостоящую оснастку (специальные фрезы, мерительный инструмент, приспособления стоимостью свыше 50 000 ₽) выдают под персональную ответственность станочника по отдельной ведомости учёта, независимо от лимитно-заборной карты.</w:t>
      </w:r>
    </w:p>
    <w:p>
      <w:pPr>
        <w:pStyle w:val="Heading2"/>
      </w:pPr>
      <w:r>
        <w:t>3. Нормы стойкости и расхода</w:t>
      </w:r>
    </w:p>
    <w:p>
      <w:r>
        <w:t>3.1. Нормы расхода инструмента на одну деталь и ожидаемая стойкость между переточками устанавливаются документом НОРМ-РАСХ-2026.</w:t>
      </w:r>
    </w:p>
    <w:p>
      <w:r>
        <w:t>3.2. Плановую потребность в инструменте на месяц инструментальное хозяйство рассчитывает на основании норм расхода и сменных заданий цехов не позднее 25-го числа месяца, предшествующего плановому.</w:t>
      </w:r>
    </w:p>
    <w:p>
      <w:r>
        <w:t>3.3. При систематическом превышении фактического расхода над нормой мастер участка совместно с инструментальным хозяйством выясняет причину (нарушение режимов резания, дефект партии инструмента) и информирует технологический отдел.</w:t>
      </w:r>
    </w:p>
    <w:p>
      <w:pPr>
        <w:pStyle w:val="Heading2"/>
      </w:pPr>
      <w:r>
        <w:t>4. Сдача затупленного инструмента</w:t>
      </w:r>
    </w:p>
    <w:p>
      <w:r>
        <w:t>4.1. Затупленный инструмент станочник обязан сдать в инструментальное хозяйство при получении нового экземпляра той же позиции; выдача нового инструмента без сдачи затупленного не производится, кроме случаев первой выдачи по позиции.</w:t>
      </w:r>
    </w:p>
    <w:p>
      <w:r>
        <w:t>4.2. Сменные пластины, не подлежащие заточке, сдаются в отдельную тару для учёта и последующей сдачи в металлолом.</w:t>
      </w:r>
    </w:p>
    <w:p>
      <w:r>
        <w:t>4.3. Инструмент, сдаваемый до истечения нормы стойкости, кладовщик принимает с отметкой причины (поломка, брак заточки, дефект материала) для последующего анализа.</w:t>
      </w:r>
    </w:p>
    <w:p>
      <w:pPr>
        <w:pStyle w:val="Heading2"/>
      </w:pPr>
      <w:r>
        <w:t>5. Заточка инструмента</w:t>
      </w:r>
    </w:p>
    <w:p>
      <w:r>
        <w:t>5.1. Инструмент, подлежащий заточке (свёрла, фрезы, круги шлифовальные), направляется на заточной участок инструментального хозяйства не позднее следующего рабочего дня после сдачи.</w:t>
      </w:r>
    </w:p>
    <w:p>
      <w:r>
        <w:t>5.2. Заточка выполняется по параметрам, установленным для данной позиции инструмента технологическим отделом; после заточки инструмент проверяется на соответствие геометрии заточником.</w:t>
      </w:r>
    </w:p>
    <w:p>
      <w:r>
        <w:t>5.3. Количество допустимых переточек по каждой позиции устанавливается НОРМ-РАСХ-2026; инструмент, исчерпавший допустимое количество переточек, подлежит списанию.</w:t>
      </w:r>
    </w:p>
    <w:p>
      <w:pPr>
        <w:pStyle w:val="Heading2"/>
      </w:pPr>
      <w:r>
        <w:t>6. Списание инструмента</w:t>
      </w:r>
    </w:p>
    <w:p>
      <w:r>
        <w:t>6.1. Списание инструмента, исчерпавшего ресурс или пришедшего в негодность, оформляется актом списания, который подписывают заведующий инструментальным хозяйством и мастер участка, сдавшего инструмент.</w:t>
      </w:r>
    </w:p>
    <w:p>
      <w:r>
        <w:t>6.2. Акт списания дорогостоящей оснастки дополнительно согласовывается с главным технологом.</w:t>
      </w:r>
    </w:p>
    <w:p>
      <w:pPr>
        <w:pStyle w:val="Heading2"/>
      </w:pPr>
      <w:r>
        <w:t>7. Учёт дорогостоящей оснастки</w:t>
      </w:r>
    </w:p>
    <w:p>
      <w:r>
        <w:t>7.1. Дорогостоящая оснастка учитывается инструментальным хозяйством поштучно в ведомости учёта с указанием инвентарного номера, станочника, за которым она закреплена, и даты последней проверки.</w:t>
      </w:r>
    </w:p>
    <w:p>
      <w:r>
        <w:t>7.2. Инвентаризация дорогостоящей оснастки проводится не реже одного раза в год комиссией с участием заведующего инструментальным хозяйством и мастеров участков цехов № 1 и № 2.</w:t>
      </w:r>
    </w:p>
    <w:p>
      <w:pPr>
        <w:pStyle w:val="Heading2"/>
      </w:pPr>
      <w:r>
        <w:t>8. Ответственность</w:t>
      </w:r>
    </w:p>
    <w:p>
      <w:r>
        <w:t>8.1. Ответственность за своевременную выдачу инструмента в пределах лимита несёт заведующий инструментальным хозяйством.</w:t>
      </w:r>
    </w:p>
    <w:p>
      <w:r>
        <w:t>8.2. Ответственность за сохранность выданного инструмента и своевременную сдачу затупленного инструмента несёт станочник, получивший инструмент.</w:t>
      </w:r>
    </w:p>
    <w:p>
      <w:r>
        <w:t>8.3. Ответственность за исполнение настоящей инструкции в целом несёт главный технолог.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