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13.04.2026</w:t>
      </w:r>
    </w:p>
    <w:p>
      <w:r>
        <w:rPr>
          <w:i/>
        </w:rPr>
        <w:t>Вводится в действие с 21.04.2026</w:t>
      </w:r>
    </w:p>
    <w:p>
      <w:pPr>
        <w:pStyle w:val="Title"/>
      </w:pPr>
      <w:r>
        <w:t>Извещение об изменении технологической карты на деталь 45.67.93 «Вал-шестерня привода конвейера»</w:t>
      </w:r>
    </w:p>
    <w:p>
      <w:pPr>
        <w:pStyle w:val="Heading2"/>
      </w:pPr>
      <w:r>
        <w:t>1. Основание изменения</w:t>
      </w:r>
    </w:p>
    <w:p>
      <w:r>
        <w:t>1.1. Предложение начальника цеха №1 от 30.03.2026 о повышении производительности операции 015 токарная при обработке детали 45.67.93 «Вал-шестерня привода конвейера» за счёт увеличения подачи.</w:t>
      </w:r>
    </w:p>
    <w:p>
      <w:r>
        <w:t>1.2. Изменение опробовано на пробной партии 20 шт.; результаты контроля радиального биения, шероховатости и твёрдости соответствуют нормам ТК-45.67.93, ред. 1.</w:t>
      </w:r>
    </w:p>
    <w:p>
      <w:pPr>
        <w:pStyle w:val="Heading2"/>
      </w:pPr>
      <w:r>
        <w:t>2. Что изменяется</w:t>
      </w:r>
    </w:p>
    <w:p>
      <w:r>
        <w:t>2.1. Изменяется режим резания на операции 015 и периодичность осмотра режущей пластины.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Подача на операции 015, мм/об</w:t>
            </w:r>
          </w:p>
        </w:tc>
        <w:tc>
          <w:tcPr>
            <w:tcW w:type="dxa" w:w="2880"/>
          </w:tcPr>
          <w:p>
            <w:r>
              <w:t>0,25</w:t>
            </w:r>
          </w:p>
        </w:tc>
        <w:tc>
          <w:tcPr>
            <w:tcW w:type="dxa" w:w="2880"/>
          </w:tcPr>
          <w:p>
            <w:r>
              <w:t>0,30</w:t>
            </w:r>
          </w:p>
        </w:tc>
      </w:tr>
      <w:tr>
        <w:tc>
          <w:tcPr>
            <w:tcW w:type="dxa" w:w="2880"/>
          </w:tcPr>
          <w:p>
            <w:r>
              <w:t>Периодичность осмотра пластины CNMG 120408</w:t>
            </w:r>
          </w:p>
        </w:tc>
        <w:tc>
          <w:tcPr>
            <w:tcW w:type="dxa" w:w="2880"/>
          </w:tcPr>
          <w:p>
            <w:r>
              <w:t>после каждой партии</w:t>
            </w:r>
          </w:p>
        </w:tc>
        <w:tc>
          <w:tcPr>
            <w:tcW w:type="dxa" w:w="2880"/>
          </w:tcPr>
          <w:p>
            <w:r>
              <w:t>после каждых 50 деталей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ТК-45.67.93, ред. 1, раздел 2 «Маршрут обработки», операция 015 токарная.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Задел, обработанный по прежнему режиму до вступления извещения в силу, дальнейшей переработке не подлежит и передаётся по маршруту без изменений.</w:t>
      </w:r>
    </w:p>
    <w:p>
      <w:r>
        <w:t>4.2. Первые три партии, обработанные по новому режиму, подлежат дополнительному контролю шероховатости на операции 070 контролёром ОТК до подтверждения стабильности процесса.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Пункт не применяется: изменение режима резания не влияет на параметры готовой детали.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21.04.2026.</w:t>
      </w:r>
    </w:p>
    <w:p>
      <w:r>
        <w:t>6.2. Ответственный за корректировку ТК-45.67.93 — главный технолог. Ответственный за инструктаж операторов участка токарной обработки цеха №1 — начальник цеха.</w:t>
      </w:r>
    </w:p>
    <w:p>
      <w:r>
        <w:t>6.3. Мастер участка ведёт учёт деталей, обработанных по новому режиму, до накопления трёх партий и передаёт сведения главному технологу для окончательного подтверждения нормы штучного времени.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