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01.06.2026</w:t>
      </w:r>
    </w:p>
    <w:p>
      <w:r>
        <w:rPr>
          <w:i/>
        </w:rPr>
        <w:t>Вводится в действие с 09.06.2026</w:t>
      </w:r>
    </w:p>
    <w:p>
      <w:pPr>
        <w:pStyle w:val="Title"/>
      </w:pPr>
      <w:r>
        <w:t>Извещение об изменении технологической карты на деталь 73.22.30 «Шток гидроцилиндра ГЦ-100/56, L=700»</w:t>
      </w:r>
    </w:p>
    <w:p>
      <w:pPr>
        <w:pStyle w:val="Heading2"/>
      </w:pPr>
      <w:r>
        <w:t>1. Основание изменения</w:t>
      </w:r>
    </w:p>
    <w:p>
      <w:r>
        <w:t>1.1. Письмо АО «Гидромаш-Юг» (договор ГЮ-2025/04) от 18.05.2026 с требованием снизить шероховатость рабочей поверхности штока гидроцилиндра ГЦ-100/56 для повышения ресурса уплотнений при рабочем давлении до 250 бар.</w:t>
      </w:r>
    </w:p>
    <w:p>
      <w:r>
        <w:t>1.2. Требование согласовано главным технологом и принято к исполнению для детали 73.22.30.</w:t>
      </w:r>
    </w:p>
    <w:p>
      <w:pPr>
        <w:pStyle w:val="Heading2"/>
      </w:pPr>
      <w:r>
        <w:t>2. Что изменяется</w:t>
      </w:r>
    </w:p>
    <w:p>
      <w:r>
        <w:t>2.1. Ужесточается норма шероховатости поверхности после операции 075 полирование.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Пункт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Шероховатость Ra на операции 075, мкм, не более</w:t>
            </w:r>
          </w:p>
        </w:tc>
        <w:tc>
          <w:tcPr>
            <w:tcW w:type="dxa" w:w="2880"/>
          </w:tcPr>
          <w:p>
            <w:r>
              <w:t>0,63</w:t>
            </w:r>
          </w:p>
        </w:tc>
        <w:tc>
          <w:tcPr>
            <w:tcW w:type="dxa" w:w="2880"/>
          </w:tcPr>
          <w:p>
            <w:r>
              <w:t>0,32</w:t>
            </w:r>
          </w:p>
        </w:tc>
      </w:tr>
    </w:tbl>
    <w:p>
      <w:pPr>
        <w:pStyle w:val="Heading2"/>
      </w:pPr>
      <w:r>
        <w:t>3. Документы, в которые вносится изменение</w:t>
      </w:r>
    </w:p>
    <w:p>
      <w:r>
        <w:t>3.1. ТК-73.22.30, ред. 1, пункт 3 «Контролируемые параметры» и раздел 2, операция 075 полирование.</w:t>
      </w:r>
    </w:p>
    <w:p>
      <w:pPr>
        <w:pStyle w:val="Heading2"/>
      </w:pPr>
      <w:r>
        <w:t>4. Указания по заделу и незавершённому производству</w:t>
      </w:r>
    </w:p>
    <w:p>
      <w:r>
        <w:t>4.1. Штоки, прошедшие операцию 075 до вступления извещения в силу, подлежат дополнительному полированию до нормы 0,32 мкм либо повторному контролю с оформлением решения начальника ОТК по отклонению.</w:t>
      </w:r>
    </w:p>
    <w:p>
      <w:r>
        <w:t>4.2. Партии, не прошедшие операцию 075 на дату вступления извещения в силу, обрабатываются сразу по новой норме шероховатости без дополнительных операций.</w:t>
      </w:r>
    </w:p>
    <w:p>
      <w:pPr>
        <w:pStyle w:val="Heading2"/>
      </w:pPr>
      <w:r>
        <w:t>5. Указания по остаткам на складе и у заказчика</w:t>
      </w:r>
    </w:p>
    <w:p>
      <w:r>
        <w:t>5.1. Остаток готовых штоков 73.22.30 на складе передаётся в ОТК для контроля шероховатости по новой норме до отгрузки АО «Гидромаш-Юг».</w:t>
      </w:r>
    </w:p>
    <w:p>
      <w:r>
        <w:t>5.2. Менеджер по продажам уведомляет заказчика о сроке поставки партий, соответствующих новому требованию.</w:t>
      </w:r>
    </w:p>
    <w:p>
      <w:pPr>
        <w:pStyle w:val="Heading2"/>
      </w:pPr>
      <w:r>
        <w:t>6. Срок внедрения и ответственные роли</w:t>
      </w:r>
    </w:p>
    <w:p>
      <w:r>
        <w:t>6.1. Извещение вводится в действие с 09.06.2026.</w:t>
      </w:r>
    </w:p>
    <w:p>
      <w:r>
        <w:t>6.2. Ответственный за корректировку ТК-73.22.30 — главный технолог. Ответственный за контроль исполнения на операции 075 — начальник ОТК.</w:t>
      </w:r>
    </w:p>
    <w:p>
      <w:r>
        <w:t>6.3. Инженер по продажам готовит техническое заключение для заказчика по факту внедрения изменения не позднее 5 рабочих дней после 09.06.2026.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