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18.05.2026</w:t>
      </w:r>
    </w:p>
    <w:p>
      <w:r>
        <w:rPr>
          <w:i/>
        </w:rPr>
        <w:t>Вводится в действие с 26.05.2026</w:t>
      </w:r>
    </w:p>
    <w:p>
      <w:pPr>
        <w:pStyle w:val="Title"/>
      </w:pPr>
      <w:r>
        <w:t>Извещение об изменении технологической карты на деталь 61.05.24 «Плита опорная натяжной станции»</w:t>
      </w:r>
    </w:p>
    <w:p>
      <w:pPr>
        <w:pStyle w:val="Heading2"/>
      </w:pPr>
      <w:r>
        <w:t>1. Основание изменения</w:t>
      </w:r>
    </w:p>
    <w:p>
      <w:r>
        <w:t>1.1. По результатам расчёта нагрузок технологический отдел установил, что опорная плита натяжной станции (деталь 61.05.24) не относится к нагруженным элементам и не требует применения легированной конструкционной стали.</w:t>
      </w:r>
    </w:p>
    <w:p>
      <w:r>
        <w:t>1.2. Главный технолог согласовал замену материала на аналог с равноценными для данной детали механическими свойствами и меньшей стоимостью.</w:t>
      </w:r>
    </w:p>
    <w:p>
      <w:pPr>
        <w:pStyle w:val="Heading2"/>
      </w:pPr>
      <w:r>
        <w:t>2. Что изменяется</w:t>
      </w:r>
    </w:p>
    <w:p>
      <w:r>
        <w:t>2.1. Заменяется марка стали листовой заготовки.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Пункт</w:t>
            </w:r>
          </w:p>
        </w:tc>
        <w:tc>
          <w:tcPr>
            <w:tcW w:type="dxa" w:w="2880"/>
          </w:tcPr>
          <w:p>
            <w:r>
              <w:t>Было</w:t>
            </w:r>
          </w:p>
        </w:tc>
        <w:tc>
          <w:tcPr>
            <w:tcW w:type="dxa" w:w="2880"/>
          </w:tcPr>
          <w:p>
            <w:r>
              <w:t>Стало</w:t>
            </w:r>
          </w:p>
        </w:tc>
      </w:tr>
      <w:tr>
        <w:tc>
          <w:tcPr>
            <w:tcW w:type="dxa" w:w="2880"/>
          </w:tcPr>
          <w:p>
            <w:r>
              <w:t>Материал</w:t>
            </w:r>
          </w:p>
        </w:tc>
        <w:tc>
          <w:tcPr>
            <w:tcW w:type="dxa" w:w="2880"/>
          </w:tcPr>
          <w:p>
            <w:r>
              <w:t>Сталь 40Х ГОСТ 4543-2016</w:t>
            </w:r>
          </w:p>
        </w:tc>
        <w:tc>
          <w:tcPr>
            <w:tcW w:type="dxa" w:w="2880"/>
          </w:tcPr>
          <w:p>
            <w:r>
              <w:t>Сталь 45 ГОСТ 1050-2013</w:t>
            </w:r>
          </w:p>
        </w:tc>
      </w:tr>
    </w:tbl>
    <w:p>
      <w:pPr>
        <w:pStyle w:val="Heading2"/>
      </w:pPr>
      <w:r>
        <w:t>3. Документы, в которые вносится изменение</w:t>
      </w:r>
    </w:p>
    <w:p>
      <w:r>
        <w:t>3.1. ТК-61.05.24, ред. 1, раздел 1 «Общие сведения».</w:t>
      </w:r>
    </w:p>
    <w:p>
      <w:r>
        <w:t>3.2. Нормы расхода NORM-RASH-2026 — позиция «лист 20 мм» по поставщику ООО «Прикамье-Прокат» (договор ПП-2025/14).</w:t>
      </w:r>
    </w:p>
    <w:p>
      <w:pPr>
        <w:pStyle w:val="Heading2"/>
      </w:pPr>
      <w:r>
        <w:t>4. Указания по заделу и незавершённому производству</w:t>
      </w:r>
    </w:p>
    <w:p>
      <w:r>
        <w:t>4.1. Листовой прокат из стали 40Х, имеющийся в заделе, дорабатывается по действующему маршруту без изменений; смешение партий двух марок стали в одной сборочной единице не допускается.</w:t>
      </w:r>
    </w:p>
    <w:p>
      <w:r>
        <w:t>4.2. Мастер участка маркирует остаток заготовок из стали 40Х отдельным ярлыком с указанием марки до полного расходования.</w:t>
      </w:r>
    </w:p>
    <w:p>
      <w:pPr>
        <w:pStyle w:val="Heading2"/>
      </w:pPr>
      <w:r>
        <w:t>5. Указания по остаткам на складе и у заказчика</w:t>
      </w:r>
    </w:p>
    <w:p>
      <w:r>
        <w:t>5.1. Пункт не применяется: замена материала не затрагивает готовую продукцию, уже переданную на склад.</w:t>
      </w:r>
    </w:p>
    <w:p>
      <w:pPr>
        <w:pStyle w:val="Heading2"/>
      </w:pPr>
      <w:r>
        <w:t>6. Срок внедрения и ответственные роли</w:t>
      </w:r>
    </w:p>
    <w:p>
      <w:r>
        <w:t>6.1. Извещение вводится в действие с 26.05.2026.</w:t>
      </w:r>
    </w:p>
    <w:p>
      <w:r>
        <w:t>6.2. Ответственный за корректировку ТК-61.05.24 — главный технолог. Ответственный за раздельное хранение остатков проката двух марок — кладовщик склада материалов.</w:t>
      </w:r>
    </w:p>
    <w:p>
      <w:r>
        <w:t>6.3. Отдел снабжения корректирует заявку на закупку листового проката с учётом перехода на сталь 45 не позднее очередной лимитно-заборной карты.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