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10.02.2026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24.02.2026</w:t>
      </w:r>
    </w:p>
    <w:p>
      <w:pPr>
        <w:pStyle w:val="Title"/>
      </w:pPr>
      <w:r>
        <w:t>Методика контроля радиального биения и геометрии валов</w:t>
      </w:r>
    </w:p>
    <w:p>
      <w:pPr>
        <w:pStyle w:val="Heading2"/>
      </w:pPr>
      <w:r>
        <w:t>1. Область применения</w:t>
      </w:r>
    </w:p>
    <w:p>
      <w:r>
        <w:t>1.1. Настоящая методика устанавливает порядок контроля радиального биения, прямолинейности оси и геометрических отклонений валов и осей после операций круглошлифовальной обработки в цехе №2.</w:t>
      </w:r>
    </w:p>
    <w:p>
      <w:r>
        <w:t>1.2. Методика применяется для деталей группы 45.67.xx (валы редукторов) и деталей 88.14.47, 88.14.51, контролируемое биение которых указано в тolerances технологической карты.</w:t>
      </w:r>
    </w:p>
    <w:p>
      <w:pPr>
        <w:pStyle w:val="Heading2"/>
      </w:pPr>
      <w:r>
        <w:t>2. Средства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Средство измерения</w:t>
            </w:r>
          </w:p>
        </w:tc>
        <w:tc>
          <w:tcPr>
            <w:tcW w:type="dxa" w:w="2880"/>
          </w:tcPr>
          <w:p>
            <w:r>
              <w:t>Диапазон</w:t>
            </w:r>
          </w:p>
        </w:tc>
        <w:tc>
          <w:tcPr>
            <w:tcW w:type="dxa" w:w="2880"/>
          </w:tcPr>
          <w:p>
            <w:r>
              <w:t>Погрешность</w:t>
            </w:r>
          </w:p>
        </w:tc>
      </w:tr>
      <w:tr>
        <w:tc>
          <w:tcPr>
            <w:tcW w:type="dxa" w:w="2880"/>
          </w:tcPr>
          <w:p>
            <w:r>
              <w:t>Индикаторная головка часового типа ИЧ-10 на стойке С-III ГОСТ 577-68</w:t>
            </w:r>
          </w:p>
        </w:tc>
        <w:tc>
          <w:tcPr>
            <w:tcW w:type="dxa" w:w="2880"/>
          </w:tcPr>
          <w:p>
            <w:r>
              <w:t>0…10 мм</w:t>
            </w:r>
          </w:p>
        </w:tc>
        <w:tc>
          <w:tcPr>
            <w:tcW w:type="dxa" w:w="2880"/>
          </w:tcPr>
          <w:p>
            <w:r>
              <w:t>±0,01 мм</w:t>
            </w:r>
          </w:p>
        </w:tc>
      </w:tr>
      <w:tr>
        <w:tc>
          <w:tcPr>
            <w:tcW w:type="dxa" w:w="2880"/>
          </w:tcPr>
          <w:p>
            <w:r>
              <w:t>Плита поверочная 630×400 класс точности 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по ГОСТ 10905-86</w:t>
            </w:r>
          </w:p>
        </w:tc>
      </w:tr>
      <w:tr>
        <w:tc>
          <w:tcPr>
            <w:tcW w:type="dxa" w:w="2880"/>
          </w:tcPr>
          <w:p>
            <w:r>
              <w:t>Центры поверочные и призмы контрольные</w:t>
            </w:r>
          </w:p>
        </w:tc>
        <w:tc>
          <w:tcPr>
            <w:tcW w:type="dxa" w:w="2880"/>
          </w:tcPr>
          <w:p>
            <w:r>
              <w:t>по диаметру вала</w:t>
            </w:r>
          </w:p>
        </w:tc>
        <w:tc>
          <w:tcPr>
            <w:tcW w:type="dxa" w:w="2880"/>
          </w:tcPr>
          <w:p>
            <w:r>
              <w:t>±0,005 мм</w:t>
            </w:r>
          </w:p>
        </w:tc>
      </w:tr>
    </w:tbl>
    <w:p>
      <w:r>
        <w:t>2.1. Проверка биения выполняется на станке 3М151 (инв. № ОС-1066) в контрольных центрах или на плите поверочной в призмах, соответствующих посадочному диаметру вала.</w:t>
      </w:r>
    </w:p>
    <w:p>
      <w:pPr>
        <w:pStyle w:val="Heading2"/>
      </w:pPr>
      <w:r>
        <w:t>3. Условия контроля</w:t>
      </w:r>
    </w:p>
    <w:p>
      <w:r>
        <w:t>3.1. Контроль проводится при температуре 20 ± 2 °С после выдержки вала на контрольном столе не менее 30 минут после операции круглошлифовальной обработки.</w:t>
      </w:r>
    </w:p>
    <w:p>
      <w:r>
        <w:t>3.2. Вал перед контролем очищается от СОЖ и абразивной пыли.</w:t>
      </w:r>
    </w:p>
    <w:p>
      <w:r>
        <w:t>3.3. Центровые отверстия вала перед установкой в контрольные центры протираются и осматриваются на отсутствие забоин.</w:t>
      </w:r>
    </w:p>
    <w:p>
      <w:pPr>
        <w:pStyle w:val="Heading2"/>
      </w:pPr>
      <w:r>
        <w:t>4. Порядок измерения</w:t>
      </w:r>
    </w:p>
    <w:p>
      <w:r>
        <w:t>4.1. Вал устанавливается в контрольные центры или в призмы на поверочной плите без зажима, допускающего деформацию.</w:t>
      </w:r>
    </w:p>
    <w:p>
      <w:r>
        <w:t>4.2. Измерительный наконечник индикаторной головки подводится к контролируемой шейке вала с натягом 0,5…1,0 мм.</w:t>
      </w:r>
    </w:p>
    <w:p>
      <w:r>
        <w:t>4.3. Вал медленно проворачивается на полный оборот; фиксируется максимальная разность показаний индикатора за оборот.</w:t>
      </w:r>
    </w:p>
    <w:p>
      <w:r>
        <w:t>4.4. Измерение повторяется на каждой шейке вала, для которой в технологической карте указано значение радиального биения.</w:t>
      </w:r>
    </w:p>
    <w:p>
      <w:pPr>
        <w:pStyle w:val="Heading2"/>
      </w:pPr>
      <w:r>
        <w:t>5. Обработка результата</w:t>
      </w:r>
    </w:p>
    <w:p>
      <w:r>
        <w:t>5.1. За величину радиального биения принимается разность между наибольшим и наименьшим показаниями индикатора за один оборот вала.</w:t>
      </w:r>
    </w:p>
    <w:p>
      <w:r>
        <w:t>5.2. Вал признаётся соответствующим, если полученное значение не превышает нормы, указанной в технологической карте на деталь.</w:t>
      </w:r>
    </w:p>
    <w:p>
      <w:pPr>
        <w:pStyle w:val="Heading2"/>
      </w:pPr>
      <w:r>
        <w:t>6. Оформление и хранение записей</w:t>
      </w:r>
    </w:p>
    <w:p>
      <w:r>
        <w:t>6.1. Результаты контроля заносятся в журнал контроля геометрии валов с указанием обозначения детали, номера партии и значения биения по каждой контролируемой шейке.</w:t>
      </w:r>
    </w:p>
    <w:p>
      <w:r>
        <w:t>6.2. Журнал контроля геометрии валов хранится в ОТК не менее трёх лет.</w:t>
      </w:r>
    </w:p>
    <w:p>
      <w:pPr>
        <w:pStyle w:val="Heading2"/>
      </w:pPr>
      <w:r>
        <w:t>7. Действия при несоответствии</w:t>
      </w:r>
    </w:p>
    <w:p>
      <w:r>
        <w:t>7.1. При превышении нормы радиального биения деталь изолируется, и дальнейшие действия выполняются в порядке, установленном ОТК-РЕГЛ-004.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