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10.07.2026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24.07.2026</w:t>
      </w:r>
    </w:p>
    <w:p>
      <w:pPr>
        <w:pStyle w:val="Title"/>
      </w:pPr>
      <w:r>
        <w:t>Методика испытания гидроцилиндров на герметичность и прочность</w:t>
      </w:r>
    </w:p>
    <w:p>
      <w:pPr>
        <w:pStyle w:val="Heading2"/>
      </w:pPr>
      <w:r>
        <w:t>1. Область применения</w:t>
      </w:r>
    </w:p>
    <w:p>
      <w:r>
        <w:t>1.1. Настоящая методика устанавливает порядок испытания собранных гидроцилиндров на прочность и герметичность на стенде СИ-ГЦ-250 в цехе №5.</w:t>
      </w:r>
    </w:p>
    <w:p>
      <w:r>
        <w:t>1.2. Методика применяется для гидроцилиндра ГЦ-100/56 в сборе (88.14.54), а по указанию технолога — для гильзы гидроцилиндра (73.22.32) при выборочном контроле сварных и резьбовых соединений.</w:t>
      </w:r>
    </w:p>
    <w:p>
      <w:pPr>
        <w:pStyle w:val="Heading2"/>
      </w:pPr>
      <w:r>
        <w:t>2. Средства измерений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Средство измерения</w:t>
            </w:r>
          </w:p>
        </w:tc>
        <w:tc>
          <w:tcPr>
            <w:tcW w:type="dxa" w:w="2880"/>
          </w:tcPr>
          <w:p>
            <w:r>
              <w:t>Диапазон</w:t>
            </w:r>
          </w:p>
        </w:tc>
        <w:tc>
          <w:tcPr>
            <w:tcW w:type="dxa" w:w="2880"/>
          </w:tcPr>
          <w:p>
            <w:r>
              <w:t>Погрешность</w:t>
            </w:r>
          </w:p>
        </w:tc>
      </w:tr>
      <w:tr>
        <w:tc>
          <w:tcPr>
            <w:tcW w:type="dxa" w:w="2880"/>
          </w:tcPr>
          <w:p>
            <w:r>
              <w:t>Стенд испытаний гидроцилиндров СИ-ГЦ-250 (инв. № ОС-1231)</w:t>
            </w:r>
          </w:p>
        </w:tc>
        <w:tc>
          <w:tcPr>
            <w:tcW w:type="dxa" w:w="2880"/>
          </w:tcPr>
          <w:p>
            <w:r>
              <w:t>до 250 бар</w:t>
            </w:r>
          </w:p>
        </w:tc>
        <w:tc>
          <w:tcPr>
            <w:tcW w:type="dxa" w:w="2880"/>
          </w:tcPr>
          <w:p>
            <w:r>
              <w:t>по паспорту стенда</w:t>
            </w:r>
          </w:p>
        </w:tc>
      </w:tr>
      <w:tr>
        <w:tc>
          <w:tcPr>
            <w:tcW w:type="dxa" w:w="2880"/>
          </w:tcPr>
          <w:p>
            <w:r>
              <w:t>Манометр образцовый МО ГОСТ 2405-88</w:t>
            </w:r>
          </w:p>
        </w:tc>
        <w:tc>
          <w:tcPr>
            <w:tcW w:type="dxa" w:w="2880"/>
          </w:tcPr>
          <w:p>
            <w:r>
              <w:t>0…400 бар</w:t>
            </w:r>
          </w:p>
        </w:tc>
        <w:tc>
          <w:tcPr>
            <w:tcW w:type="dxa" w:w="2880"/>
          </w:tcPr>
          <w:p>
            <w:r>
              <w:t>класс точности 0,4</w:t>
            </w:r>
          </w:p>
        </w:tc>
      </w:tr>
      <w:tr>
        <w:tc>
          <w:tcPr>
            <w:tcW w:type="dxa" w:w="2880"/>
          </w:tcPr>
          <w:p>
            <w:r>
              <w:t>Секундомер механический</w:t>
            </w:r>
          </w:p>
        </w:tc>
        <w:tc>
          <w:tcPr>
            <w:tcW w:type="dxa" w:w="2880"/>
          </w:tcPr>
          <w:p>
            <w:r>
              <w:t>до 60 мин</w:t>
            </w:r>
          </w:p>
        </w:tc>
        <w:tc>
          <w:tcPr>
            <w:tcW w:type="dxa" w:w="2880"/>
          </w:tcPr>
          <w:p>
            <w:r>
              <w:t>±0,2 с</w:t>
            </w:r>
          </w:p>
        </w:tc>
      </w:tr>
    </w:tbl>
    <w:p>
      <w:r>
        <w:t>2.1. Манометр стенда поверяется в соответствии с графиком поверки средств измерений; к испытаниям допускается только манометр с действующим клеймом поверки.</w:t>
      </w:r>
    </w:p>
    <w:p>
      <w:pPr>
        <w:pStyle w:val="Heading2"/>
      </w:pPr>
      <w:r>
        <w:t>3. Условия контроля</w:t>
      </w:r>
    </w:p>
    <w:p>
      <w:r>
        <w:t>3.1. Испытание проводится на рабочей жидкости, предусмотренной технологической картой на изделие, при температуре жидкости от 15 до 35 °С.</w:t>
      </w:r>
    </w:p>
    <w:p>
      <w:r>
        <w:t>3.2. Перед испытанием гидроцилиндр полностью заполняется рабочей жидкостью с удалением воздуха из полостей.</w:t>
      </w:r>
    </w:p>
    <w:p>
      <w:r>
        <w:t>3.3. Наружная поверхность гидроцилиндра перед испытанием насухо протирается для визуального контроля подтёков.</w:t>
      </w:r>
    </w:p>
    <w:p>
      <w:pPr>
        <w:pStyle w:val="Heading2"/>
      </w:pPr>
      <w:r>
        <w:t>4. Порядок измерения</w:t>
      </w:r>
    </w:p>
    <w:p>
      <w:r>
        <w:t>4.1. Контролёр подключает гидроцилиндр к стенду и проверяет герметичность соединений при давлении 10 бар в течение одной минуты.</w:t>
      </w:r>
    </w:p>
    <w:p>
      <w:r>
        <w:t>4.2. Давление в системе плавно повышается до испытательного значения 250 бар со скоростью, исключающей гидравлический удар.</w:t>
      </w:r>
    </w:p>
    <w:p>
      <w:r>
        <w:t>4.3. Гидроцилиндр выдерживается под испытательным давлением 250 бар в течение 5 минут; в течение выдержки контролируется показание манометра стенда.</w:t>
      </w:r>
    </w:p>
    <w:p>
      <w:r>
        <w:t>4.4. После выдержки под давлением шток гидроцилиндра совершает не менее трёх полных ходов на длину 700 мм для проверки плавности хода и отсутствия заеданий.</w:t>
      </w:r>
    </w:p>
    <w:p>
      <w:r>
        <w:t>4.5. По окончании испытания контролёр осматривает наружные поверхности, уплотнения и резьбовые соединения на наличие следов рабочей жидкости.</w:t>
      </w:r>
    </w:p>
    <w:p>
      <w:pPr>
        <w:pStyle w:val="Heading2"/>
      </w:pPr>
      <w:r>
        <w:t>5. Обработка результата</w:t>
      </w:r>
    </w:p>
    <w:p>
      <w:r>
        <w:t>5.1. Испытание на прочность считается пройденным, если в течение выдержки под испытательным давлением падение давления по манометру стенда не зафиксировано.</w:t>
      </w:r>
    </w:p>
    <w:p>
      <w:r>
        <w:t>5.2. Испытание на герметичность считается пройденным, если после осмотра по пункту 4.5 не обнаружено следов течи рабочей жидкости.</w:t>
      </w:r>
    </w:p>
    <w:p>
      <w:r>
        <w:t>5.3. Гидроцилиндр признаётся соответствующим при одновременном выполнении условий по пунктам 5.1 и 5.2, а также при плавном ходе штока без заеданий на всей длине хода 700 мм.</w:t>
      </w:r>
    </w:p>
    <w:p>
      <w:pPr>
        <w:pStyle w:val="Heading2"/>
      </w:pPr>
      <w:r>
        <w:t>6. Оформление и хранение записей</w:t>
      </w:r>
    </w:p>
    <w:p>
      <w:r>
        <w:t>6.1. Результаты испытания оформляются протоколом по форме ПРОТ-{ггггммдд}-{nn} в порядке, установленном ОТК-РЕГЛ-002.</w:t>
      </w:r>
    </w:p>
    <w:p>
      <w:r>
        <w:t>6.2. Протокол испытания гидроцилиндра хранится в ОТК не менее трёх лет.</w:t>
      </w:r>
    </w:p>
    <w:p>
      <w:pPr>
        <w:pStyle w:val="Heading2"/>
      </w:pPr>
      <w:r>
        <w:t>7. Действия при несоответствии</w:t>
      </w:r>
    </w:p>
    <w:p>
      <w:r>
        <w:t>7.1. При выявлении падения давления, течи рабочей жидкости или заедания штока гидроцилиндр изолируется, и дальнейшие действия выполняются в порядке, установленном ОТК-РЕГЛ-004.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