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06.08.2026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20.08.2026</w:t>
      </w:r>
    </w:p>
    <w:p>
      <w:pPr>
        <w:pStyle w:val="Title"/>
      </w:pPr>
      <w:r>
        <w:t>Методика контроля комплектности, маркировки и консервации готовой продукции</w:t>
      </w:r>
    </w:p>
    <w:p>
      <w:pPr>
        <w:pStyle w:val="Heading2"/>
      </w:pPr>
      <w:r>
        <w:t>1. Область применения</w:t>
      </w:r>
    </w:p>
    <w:p>
      <w:r>
        <w:t>1.1. Настоящая методика устанавливает порядок контроля комплектности, маркировки и качества консервации готовой продукции перед отгрузкой на участке консервации и упаковки цеха №6.</w:t>
      </w:r>
    </w:p>
    <w:p>
      <w:r>
        <w:t>1.2. Методика применяется для узлов в сборе 88.14.53, 88.14.54, 88.14.55, а также для деталей и узлов, поставляемых как запасные части.</w:t>
      </w:r>
    </w:p>
    <w:p>
      <w:pPr>
        <w:pStyle w:val="Heading2"/>
      </w:pPr>
      <w:r>
        <w:t>2. Средства контроля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Средство контроля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  <w:tc>
          <w:tcPr>
            <w:tcW w:type="dxa" w:w="2880"/>
          </w:tcPr>
          <w:p>
            <w:r>
              <w:t>Погрешность</w:t>
            </w:r>
          </w:p>
        </w:tc>
      </w:tr>
      <w:tr>
        <w:tc>
          <w:tcPr>
            <w:tcW w:type="dxa" w:w="2880"/>
          </w:tcPr>
          <w:p>
            <w:r>
              <w:t>Лупа измерительная ЛИ-3-10х ГОСТ 25706-83</w:t>
            </w:r>
          </w:p>
        </w:tc>
        <w:tc>
          <w:tcPr>
            <w:tcW w:type="dxa" w:w="2880"/>
          </w:tcPr>
          <w:p>
            <w:r>
              <w:t>контроль чёткости маркировки</w:t>
            </w:r>
          </w:p>
        </w:tc>
        <w:tc>
          <w:tcPr>
            <w:tcW w:type="dxa" w:w="2880"/>
          </w:tcPr>
          <w:p>
            <w:r>
              <w:t>увеличение 10х</w:t>
            </w:r>
          </w:p>
        </w:tc>
      </w:tr>
      <w:tr>
        <w:tc>
          <w:tcPr>
            <w:tcW w:type="dxa" w:w="2880"/>
          </w:tcPr>
          <w:p>
            <w:r>
              <w:t>Мерная ёмкость для консервационного масла К-17, 0,1 л</w:t>
            </w:r>
          </w:p>
        </w:tc>
        <w:tc>
          <w:tcPr>
            <w:tcW w:type="dxa" w:w="2880"/>
          </w:tcPr>
          <w:p>
            <w:r>
              <w:t>контроль нормы расхода масла на консервацию</w:t>
            </w:r>
          </w:p>
        </w:tc>
        <w:tc>
          <w:tcPr>
            <w:tcW w:type="dxa" w:w="2880"/>
          </w:tcPr>
          <w:p>
            <w:r>
              <w:t>±5 %</w:t>
            </w:r>
          </w:p>
        </w:tc>
      </w:tr>
      <w:tr>
        <w:tc>
          <w:tcPr>
            <w:tcW w:type="dxa" w:w="2880"/>
          </w:tcPr>
          <w:p>
            <w:r>
              <w:t>Весы платформенные, до 100 кг</w:t>
            </w:r>
          </w:p>
        </w:tc>
        <w:tc>
          <w:tcPr>
            <w:tcW w:type="dxa" w:w="2880"/>
          </w:tcPr>
          <w:p>
            <w:r>
              <w:t>контроль массы упакованного изделия</w:t>
            </w:r>
          </w:p>
        </w:tc>
        <w:tc>
          <w:tcPr>
            <w:tcW w:type="dxa" w:w="2880"/>
          </w:tcPr>
          <w:p>
            <w:r>
              <w:t>±50 г</w:t>
            </w:r>
          </w:p>
        </w:tc>
      </w:tr>
    </w:tbl>
    <w:p>
      <w:pPr>
        <w:pStyle w:val="Heading2"/>
      </w:pPr>
      <w:r>
        <w:t>3. Условия контроля</w:t>
      </w:r>
    </w:p>
    <w:p>
      <w:r>
        <w:t>3.1. Контроль проводится в помещении участка консервации и упаковки при температуре не ниже 15 °С.</w:t>
      </w:r>
    </w:p>
    <w:p>
      <w:r>
        <w:t>3.2. Изделие перед контролем должно быть полностью укомплектовано в соответствии со спецификацией сборочного чертежа.</w:t>
      </w:r>
    </w:p>
    <w:p>
      <w:r>
        <w:t>3.3. Консервация изделия маслом К-17 выполняется до контроля комплектности и маркировки.</w:t>
      </w:r>
    </w:p>
    <w:p>
      <w:pPr>
        <w:pStyle w:val="Heading2"/>
      </w:pPr>
      <w:r>
        <w:t>4. Порядок контроля</w:t>
      </w:r>
    </w:p>
    <w:p>
      <w:r>
        <w:t>4.1. Контролёр сверяет фактическую комплектность изделия с перечнем составных частей по сборочному чертежу и отгрузочной спецификации.</w:t>
      </w:r>
    </w:p>
    <w:p>
      <w:r>
        <w:t>4.2. Контролёр проверяет наличие и чёткость маркировки: обозначение изделия, номер партии, дата изготовления и клеймо ОТК.</w:t>
      </w:r>
    </w:p>
    <w:p>
      <w:r>
        <w:t>4.3. Контролёр визуально проверяет равномерность нанесения консервационного покрытия на все незащищённые металлические поверхности изделия; расход масла К-17 должен соответствовать норме, установленной NORM-RASH-2026, из расчёта не менее 0,05 л на изделие.</w:t>
      </w:r>
    </w:p>
    <w:p>
      <w:r>
        <w:t>4.4. Контролёр проверяет соответствие упаковки требованиям договора с заказчиком, включая наличие товаросопроводительных документов внутри или на упаковке.</w:t>
      </w:r>
    </w:p>
    <w:p>
      <w:pPr>
        <w:pStyle w:val="Heading2"/>
      </w:pPr>
      <w:r>
        <w:t>5. Обработка результата</w:t>
      </w:r>
    </w:p>
    <w:p>
      <w:r>
        <w:t>5.1. Изделие признаётся соответствующим, если одновременно выполнены условия по комплектности, маркировке, консервации и упаковке, указанные в пунктах 4.1–4.4.</w:t>
      </w:r>
    </w:p>
    <w:p>
      <w:r>
        <w:t>5.2. При невыполнении хотя бы одного условия изделие к отгрузке не допускается.</w:t>
      </w:r>
    </w:p>
    <w:p>
      <w:pPr>
        <w:pStyle w:val="Heading2"/>
      </w:pPr>
      <w:r>
        <w:t>6. Оформление и хранение записей</w:t>
      </w:r>
    </w:p>
    <w:p>
      <w:r>
        <w:t>6.1. Результат контроля контролёр отмечает в отгрузочном документе и в журнале контроля готовой продукции с указанием обозначения изделия и номера партии.</w:t>
      </w:r>
    </w:p>
    <w:p>
      <w:r>
        <w:t>6.2. Журнал контроля готовой продукции хранится в ОТК не менее трёх лет.</w:t>
      </w:r>
    </w:p>
    <w:p>
      <w:pPr>
        <w:pStyle w:val="Heading2"/>
      </w:pPr>
      <w:r>
        <w:t>7. Действия при несоответствии</w:t>
      </w:r>
    </w:p>
    <w:p>
      <w:r>
        <w:t>7.1. При выявлении некомплектности, нечёткой маркировки или ненадлежащей консервации изделие изолируется, и дальнейшие действия выполняются в порядке, установленном ОТК-РЕГЛ-004.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