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22.09.2026</w:t>
      </w:r>
    </w:p>
    <w:p>
      <w:pPr>
        <w:pStyle w:val="Title"/>
      </w:pPr>
      <w:r>
        <w:t>Отчёт о простоях оборудования за сентябрь 2026 г.</w:t>
      </w:r>
    </w:p>
    <w:p>
      <w:pPr>
        <w:pStyle w:val="Heading2"/>
      </w:pPr>
      <w:r>
        <w:t>1. Сводка</w:t>
      </w:r>
    </w:p>
    <w:p>
      <w:r>
        <w:t>1.1. Отчёт сформирован за неполный месяц — с 1 по 22 сентября 2026 г. включительно; данные за оставшуюся часть месяца будут учтены в отчёте за октябрь 2026 г.</w:t>
      </w:r>
    </w:p>
    <w:p>
      <w:r>
        <w:t>1.2. Суммарная наработка оборудования за период составила 4 758 часов, суммарный простой — 60 часов.</w:t>
      </w:r>
    </w:p>
    <w:p>
      <w:r>
        <w:t>1.3. Коэффициент технической готовности (КТГ) за период с 1 по 22 сентября 2026 г. составил 98,8 %; показатель сопоставим с результатом августа 2026 г. (98,7 %) и не может рассматриваться как итог месяца в целом.</w:t>
      </w:r>
    </w:p>
    <w:p>
      <w:pPr>
        <w:pStyle w:val="Heading2"/>
      </w:pPr>
      <w:r>
        <w:t>2. Простои по оборудованию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Инв. №</w:t>
            </w:r>
          </w:p>
        </w:tc>
        <w:tc>
          <w:tcPr>
            <w:tcW w:type="dxa" w:w="1440"/>
          </w:tcPr>
          <w:p>
            <w:r>
              <w:t>Модель</w:t>
            </w:r>
          </w:p>
        </w:tc>
        <w:tc>
          <w:tcPr>
            <w:tcW w:type="dxa" w:w="1440"/>
          </w:tcPr>
          <w:p>
            <w:r>
              <w:t>Цех</w:t>
            </w:r>
          </w:p>
        </w:tc>
        <w:tc>
          <w:tcPr>
            <w:tcW w:type="dxa" w:w="1440"/>
          </w:tcPr>
          <w:p>
            <w:r>
              <w:t>Простой, ч</w:t>
            </w:r>
          </w:p>
        </w:tc>
        <w:tc>
          <w:tcPr>
            <w:tcW w:type="dxa" w:w="1440"/>
          </w:tcPr>
          <w:p>
            <w:r>
              <w:t>Плановый / аварийный</w:t>
            </w:r>
          </w:p>
        </w:tc>
        <w:tc>
          <w:tcPr>
            <w:tcW w:type="dxa" w:w="1440"/>
          </w:tcPr>
          <w:p>
            <w:r>
              <w:t>Причина</w:t>
            </w:r>
          </w:p>
        </w:tc>
      </w:tr>
      <w:tr>
        <w:tc>
          <w:tcPr>
            <w:tcW w:type="dxa" w:w="1440"/>
          </w:tcPr>
          <w:p>
            <w:r>
              <w:t>ОС-1041</w:t>
            </w:r>
          </w:p>
        </w:tc>
        <w:tc>
          <w:tcPr>
            <w:tcW w:type="dxa" w:w="1440"/>
          </w:tcPr>
          <w:p>
            <w:r>
              <w:t>16К20Ф3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плановый 4 / аварийный 4</w:t>
            </w:r>
          </w:p>
        </w:tc>
        <w:tc>
          <w:tcPr>
            <w:tcW w:type="dxa" w:w="1440"/>
          </w:tcPr>
          <w:p>
            <w:r>
              <w:t>ТО-1 по графику; регулировка задней бабки</w:t>
            </w:r>
          </w:p>
        </w:tc>
      </w:tr>
      <w:tr>
        <w:tc>
          <w:tcPr>
            <w:tcW w:type="dxa" w:w="1440"/>
          </w:tcPr>
          <w:p>
            <w:r>
              <w:t>ОС-1198</w:t>
            </w:r>
          </w:p>
        </w:tc>
        <w:tc>
          <w:tcPr>
            <w:tcW w:type="dxa" w:w="1440"/>
          </w:tcPr>
          <w:p>
            <w:r>
              <w:t>DMG MORI CTX 310 ecoline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ОС-1203</w:t>
            </w:r>
          </w:p>
        </w:tc>
        <w:tc>
          <w:tcPr>
            <w:tcW w:type="dxa" w:w="1440"/>
          </w:tcPr>
          <w:p>
            <w:r>
              <w:t>Haas VF-2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ОС-0987</w:t>
            </w:r>
          </w:p>
        </w:tc>
        <w:tc>
          <w:tcPr>
            <w:tcW w:type="dxa" w:w="1440"/>
          </w:tcPr>
          <w:p>
            <w:r>
              <w:t>6Р13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ОС-1250</w:t>
            </w:r>
          </w:p>
        </w:tc>
        <w:tc>
          <w:tcPr>
            <w:tcW w:type="dxa" w:w="1440"/>
          </w:tcPr>
          <w:p>
            <w:r>
              <w:t>Sinumerik 828D / СТЦ-1730</w:t>
            </w:r>
          </w:p>
        </w:tc>
        <w:tc>
          <w:tcPr>
            <w:tcW w:type="dxa" w:w="1440"/>
          </w:tcPr>
          <w:p>
            <w:r>
              <w:t>Цех №1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ОС-1066</w:t>
            </w:r>
          </w:p>
        </w:tc>
        <w:tc>
          <w:tcPr>
            <w:tcW w:type="dxa" w:w="1440"/>
          </w:tcPr>
          <w:p>
            <w:r>
              <w:t>3М151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ОС-1071</w:t>
            </w:r>
          </w:p>
        </w:tc>
        <w:tc>
          <w:tcPr>
            <w:tcW w:type="dxa" w:w="1440"/>
          </w:tcPr>
          <w:p>
            <w:r>
              <w:t>3Е711В</w:t>
            </w:r>
          </w:p>
        </w:tc>
        <w:tc>
          <w:tcPr>
            <w:tcW w:type="dxa" w:w="1440"/>
          </w:tcPr>
          <w:p>
            <w:r>
              <w:t>Цех №2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ОС-0812</w:t>
            </w:r>
          </w:p>
        </w:tc>
        <w:tc>
          <w:tcPr>
            <w:tcW w:type="dxa" w:w="1440"/>
          </w:tcPr>
          <w:p>
            <w:r>
              <w:t>СШЗ-6.6/9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ППР, остывание и разогрев печи</w:t>
            </w:r>
          </w:p>
        </w:tc>
      </w:tr>
      <w:tr>
        <w:tc>
          <w:tcPr>
            <w:tcW w:type="dxa" w:w="1440"/>
          </w:tcPr>
          <w:p>
            <w:r>
              <w:t>ОС-1155</w:t>
            </w:r>
          </w:p>
        </w:tc>
        <w:tc>
          <w:tcPr>
            <w:tcW w:type="dxa" w:w="1440"/>
          </w:tcPr>
          <w:p>
            <w:r>
              <w:t>ВЧГ7-60/0,066</w:t>
            </w:r>
          </w:p>
        </w:tc>
        <w:tc>
          <w:tcPr>
            <w:tcW w:type="dxa" w:w="1440"/>
          </w:tcPr>
          <w:p>
            <w:r>
              <w:t>Цех №3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ОС-0903</w:t>
            </w:r>
          </w:p>
        </w:tc>
        <w:tc>
          <w:tcPr>
            <w:tcW w:type="dxa" w:w="1440"/>
          </w:tcPr>
          <w:p>
            <w:r>
              <w:t>АГ-40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ОС-0911</w:t>
            </w:r>
          </w:p>
        </w:tc>
        <w:tc>
          <w:tcPr>
            <w:tcW w:type="dxa" w:w="1440"/>
          </w:tcPr>
          <w:p>
            <w:r>
              <w:t>АГ-25Х</w:t>
            </w:r>
          </w:p>
        </w:tc>
        <w:tc>
          <w:tcPr>
            <w:tcW w:type="dxa" w:w="1440"/>
          </w:tcPr>
          <w:p>
            <w:r>
              <w:t>Цех №4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ОС-1120</w:t>
            </w:r>
          </w:p>
        </w:tc>
        <w:tc>
          <w:tcPr>
            <w:tcW w:type="dxa" w:w="1440"/>
          </w:tcPr>
          <w:p>
            <w:r>
              <w:t>П-6330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  <w:tr>
        <w:tc>
          <w:tcPr>
            <w:tcW w:type="dxa" w:w="1440"/>
          </w:tcPr>
          <w:p>
            <w:r>
              <w:t>ОС-1231</w:t>
            </w:r>
          </w:p>
        </w:tc>
        <w:tc>
          <w:tcPr>
            <w:tcW w:type="dxa" w:w="1440"/>
          </w:tcPr>
          <w:p>
            <w:r>
              <w:t>СИ-ГЦ-250</w:t>
            </w:r>
          </w:p>
        </w:tc>
        <w:tc>
          <w:tcPr>
            <w:tcW w:type="dxa" w:w="1440"/>
          </w:tcPr>
          <w:p>
            <w:r>
              <w:t>Цех №5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плановый</w:t>
            </w:r>
          </w:p>
        </w:tc>
        <w:tc>
          <w:tcPr>
            <w:tcW w:type="dxa" w:w="1440"/>
          </w:tcPr>
          <w:p>
            <w:r>
              <w:t>ТО-1 по графику ППР</w:t>
            </w:r>
          </w:p>
        </w:tc>
      </w:tr>
    </w:tbl>
    <w:p>
      <w:pPr>
        <w:pStyle w:val="Heading2"/>
      </w:pPr>
      <w:r>
        <w:t>3. Крупнейшие простои и их причины</w:t>
      </w:r>
    </w:p>
    <w:p>
      <w:r>
        <w:t>3.1. Наибольший простой за период — 8 часов на станке ОС-1041 (16К20Ф3, цех № 1): плановое ТО-1 и очередная внеплановая регулировка изношенной задней бабки; вопрос о внеочередном капитальном ремонте станка вынесен на рассмотрение технического директора.</w:t>
      </w:r>
    </w:p>
    <w:p>
      <w:r>
        <w:t>3.2. Второй по величине простой — 7 часов на печи ОС-0812 (СШЗ-6.6/9, цех № 3): плановое ТО-1 с учётом остывания и повторного разогрева печи непрерывного цикла.</w:t>
      </w:r>
    </w:p>
    <w:p>
      <w:pPr>
        <w:pStyle w:val="Heading2"/>
      </w:pPr>
      <w:r>
        <w:t>4. Влияние на выполнение сменных заданий</w:t>
      </w:r>
    </w:p>
    <w:p>
      <w:r>
        <w:t>4.1. За отчётный период плановые простои укладывались в окна, согласованные с ПДО, срывов сменных заданий цехов не зафиксировано.</w:t>
      </w:r>
    </w:p>
    <w:p>
      <w:pPr>
        <w:pStyle w:val="Heading2"/>
      </w:pPr>
      <w:r>
        <w:t>5. Мероприятия</w:t>
      </w:r>
    </w:p>
    <w:p>
      <w:r>
        <w:t>5.1. Принять решение о внеочередном капитальном ремонте станка ОС-1041 (16К20Ф3) до конца 2026 г. в связи с систематическими отказами задней бабки третий месяц подряд.</w:t>
      </w:r>
    </w:p>
    <w:p>
      <w:r>
        <w:t>5.2. Продолжить наблюдение за коэффициентом технической готовности линий цеха № 4 по итогам полного месяца после введения контроля нагрева выпрямителей по ТЕХ-РЕГЛ-001, ред.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