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i/>
        </w:rPr>
        <w:t>УТВЕРЖДАЮ: Главный технолог</w:t>
      </w:r>
    </w:p>
    <w:p>
      <w:r>
        <w:rPr>
          <w:i/>
        </w:rPr>
        <w:t>Дата утверждения: 16.05.2025</w:t>
      </w:r>
    </w:p>
    <w:p>
      <w:r>
        <w:rPr>
          <w:i/>
        </w:rPr>
        <w:t>Редакция: ред. 1</w:t>
      </w:r>
    </w:p>
    <w:p>
      <w:r>
        <w:rPr>
          <w:i/>
        </w:rPr>
        <w:t>Вводится в действие с 27.05.2025</w:t>
      </w:r>
    </w:p>
    <w:p>
      <w:pPr>
        <w:pStyle w:val="Title"/>
      </w:pPr>
      <w:r>
        <w:t>Фрезерная обработка на универсально-фрезерном станке 6Р13</w:t>
      </w:r>
    </w:p>
    <w:p>
      <w:pPr>
        <w:pStyle w:val="Heading2"/>
      </w:pPr>
      <w:r>
        <w:t>1. Область применения</w:t>
      </w:r>
    </w:p>
    <w:p>
      <w:r>
        <w:t>1.1. Инструкция устанавливает порядок работы на универсально-фрезерном станке 6Р13, инв. № ОС-0987, цех №1 Ковровской площадки.</w:t>
      </w:r>
    </w:p>
    <w:p>
      <w:r>
        <w:t>1.2. Инструкция обязательна для фрезеровщиков, выполняющих фрезерование шпоночных пазов, плоскостей и зубьев зубчатых колёс с использованием делительной головки по технологическим картам.</w:t>
      </w:r>
    </w:p>
    <w:p>
      <w:r>
        <w:t>1.3. Станок используется для операций мелкосерийного характера, не переведённых на обрабатывающие центры с ЧПУ.</w:t>
      </w:r>
    </w:p>
    <w:p>
      <w:pPr>
        <w:pStyle w:val="Heading2"/>
      </w:pPr>
      <w:r>
        <w:t>2. Требования к исполнителю</w:t>
      </w:r>
    </w:p>
    <w:p>
      <w:r>
        <w:t>2.1. К работе допускаются фрезеровщики не ниже 3 разряда.</w:t>
      </w:r>
    </w:p>
    <w:p>
      <w:r>
        <w:t>2.2. Обязателен инструктаж по ИОТ-005 «Общие требования охраны труда для работников механических цехов», повторный — не реже одного раза в квартал.</w:t>
      </w:r>
    </w:p>
    <w:p>
      <w:r>
        <w:t>2.3. Допуск к работе с делительной головкой — после дополнительного обучения и стажировки не менее 5 смен под руководством мастера участка.</w:t>
      </w:r>
    </w:p>
    <w:p>
      <w:pPr>
        <w:pStyle w:val="Heading2"/>
      </w:pPr>
      <w:r>
        <w:t>3. Подготовка рабочего места и проверка станка перед началом смены</w:t>
      </w:r>
    </w:p>
    <w:p>
      <w:r>
        <w:t>3.1. Проверяется исправность ограждений зоны фрезерования и состояние патрона делительной головки.</w:t>
      </w:r>
    </w:p>
    <w:p>
      <w:r>
        <w:t>3.2. Проверяется крепление фрезы и её соответствие карте наладки.</w:t>
      </w:r>
    </w:p>
    <w:p>
      <w:r>
        <w:t>3.3. Проверяется уровень и концентрация СОЖ ЭТ-2; порядок приготовления и контроля — по РИ-013.</w:t>
      </w:r>
    </w:p>
    <w:p>
      <w:r>
        <w:t>3.4. Проверяется наличие технологической карты и делительной таблицы на партию.</w:t>
      </w:r>
    </w:p>
    <w:p>
      <w:pPr>
        <w:pStyle w:val="Heading2"/>
      </w:pPr>
      <w:r>
        <w:t>4. Порядок выполнения работы</w:t>
      </w:r>
    </w:p>
    <w:p>
      <w:r>
        <w:t>4.1. Заготовка устанавливается и выверяется в приспособлении (например, шпонка призматическая 18×11×80, обозначение 88.14.44, материал сталь 45) либо в делительной головке (например, шестерня цилиндрическая z=24, m=4, обозначение 52.31.10).</w:t>
      </w:r>
    </w:p>
    <w:p>
      <w:r>
        <w:t>4.2. При фрезеровании плоскостей и пазов используется фреза торцевая ø63 на 5 зубьев со скоростью 160…190 м/мин, подачей 0,15 мм/зуб и глубиной прохода до 3 мм.</w:t>
      </w:r>
    </w:p>
    <w:p>
      <w:r>
        <w:t>4.3. При нарезании зубьев модульной дисковой фрезой делительная головка настраивается по делительной таблице на число зубьев колеса; после нарезания каждого зуба проверяется точность деления.</w:t>
      </w:r>
    </w:p>
    <w:p>
      <w:r>
        <w:t>4.4. Охлаждение зоны резания выполняется СОЖ ЭТ-2 концентрацией 5…7 %.</w:t>
      </w:r>
    </w:p>
    <w:p>
      <w:r>
        <w:t>4.5. После первой детали партии выполняется самоконтроль по разделу 5, далее — не реже каждой пятой детали.</w:t>
      </w:r>
    </w:p>
    <w:p>
      <w:r>
        <w:t>4.6. Обработанные детали укладываются в тару с ярлыком партии и передаются на следующую операцию маршрута.</w:t>
      </w:r>
    </w:p>
    <w:p>
      <w:pPr>
        <w:pStyle w:val="Heading2"/>
      </w:pPr>
      <w:r>
        <w:t>5. Контролируемые параметры и самоконтроль</w:t>
      </w:r>
    </w:p>
    <w:p>
      <w:r>
        <w:t>5.1. Контролируются ширина паза, шаг и профиль зуба, шероховатость поверхности по карте наладки.</w:t>
      </w:r>
    </w:p>
    <w:p>
      <w:r>
        <w:t>5.2. Периодичность самоконтроля — первая, последняя и каждая пятая деталь партии.</w:t>
      </w:r>
    </w:p>
    <w:p>
      <w:r>
        <w:t>5.3. При отклонении параметра обработка приостанавливается, деталь передаётся контролёру ОТК для контроля по методикам ОТК-МИ-001 и ОТК-МИ-006.</w:t>
      </w:r>
    </w:p>
    <w:p>
      <w:r>
        <w:t>5.4. Результаты заносятся в журнал операционного контроля цеха №1.</w:t>
      </w:r>
    </w:p>
    <w:p>
      <w:pPr>
        <w:pStyle w:val="Heading2"/>
      </w:pPr>
      <w:r>
        <w:t>6. Действия при отклонениях и отказах</w:t>
      </w:r>
    </w:p>
    <w:p>
      <w:r>
        <w:t>6.1. При люфте делительной головки, заклинивании подачи или постороннем шуме оператор останавливает станок.</w:t>
      </w:r>
    </w:p>
    <w:p>
      <w:r>
        <w:t>6.2. О неисправности сообщается мастеру участка, оформляется заявка на ремонт по форме ЗРМ.</w:t>
      </w:r>
    </w:p>
    <w:p>
      <w:r>
        <w:t>6.3. Порядок вывода станка в ремонт и допуска после ремонта — по ТОиР-РЕГЛ-002.</w:t>
      </w:r>
    </w:p>
    <w:p>
      <w:r>
        <w:t>6.4. Детали с подозрением на ошибку деления откладываются отдельно до решения контролёра ОТК.</w:t>
      </w:r>
    </w:p>
    <w:p>
      <w:pPr>
        <w:pStyle w:val="Heading2"/>
      </w:pPr>
      <w:r>
        <w:t>7. Окончание смены, уборка, сдача</w:t>
      </w:r>
    </w:p>
    <w:p>
      <w:r>
        <w:t>7.1. Станок останавливается, делительная головка фиксируется в нейтральном положении.</w:t>
      </w:r>
    </w:p>
    <w:p>
      <w:r>
        <w:t>7.2. Рабочая зона очищается от стружки, стол и делительная головка протираются от СОЖ.</w:t>
      </w:r>
    </w:p>
    <w:p>
      <w:r>
        <w:t>7.3. В журнале приёма-сдачи смены фиксируются количество обработанных деталей и замечания по состоянию станка.</w:t>
      </w:r>
    </w:p>
    <w:p>
      <w:r>
        <w:t>7.4. Смена сдаётся мастеру участка или оператору следующей смены.</w:t>
      </w:r>
    </w:p>
    <w:p>
      <w:pPr>
        <w:pStyle w:val="Heading2"/>
      </w:pPr>
      <w:r>
        <w:t>8. Запрещается</w:t>
      </w:r>
    </w:p>
    <w:p>
      <w:r>
        <w:t>8.1. Запрещается фрезеровать без установленных ограждений зоны резания.</w:t>
      </w:r>
    </w:p>
    <w:p>
      <w:r>
        <w:t>8.2. Запрещается изменять настройку делительной головки во время вращения шпинделя.</w:t>
      </w:r>
    </w:p>
    <w:p>
      <w:r>
        <w:t>8.3. Запрещается применять фрезы с трещинами, сколами зубьев или превышением срока заточки.</w:t>
      </w:r>
    </w:p>
    <w:p>
      <w:r>
        <w:t>8.4. Запрещается оставлять станок без надзора во время рабочего хода.</w:t>
      </w:r>
    </w:p>
    <w:p>
      <w:r>
        <w:t>8.5. Запрещается работать при неисправном ограждении зоны деления.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ГК «Родос-Деталь»</dc:creator>
  <cp:keywords/>
  <dc:description>generated by python-docx</dc:description>
  <cp:lastModifiedBy>ГК «Родос-Деталь»</cp:lastModifiedBy>
  <cp:revision>1</cp:revision>
  <dcterms:created xsi:type="dcterms:W3CDTF">2026-09-22T12:00:00Z</dcterms:created>
  <dcterms:modified xsi:type="dcterms:W3CDTF">2026-09-22T12:00:00Z</dcterms:modified>
  <cp:category/>
</cp:coreProperties>
</file>