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14.11.2025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25.11.2025</w:t>
      </w:r>
    </w:p>
    <w:p>
      <w:pPr>
        <w:pStyle w:val="Title"/>
      </w:pPr>
      <w:r>
        <w:t>Нанесение цинкового покрытия на линии АГ-40</w:t>
      </w:r>
    </w:p>
    <w:p>
      <w:pPr>
        <w:pStyle w:val="Heading2"/>
      </w:pPr>
      <w:r>
        <w:t>1. Область применения</w:t>
      </w:r>
    </w:p>
    <w:p>
      <w:r>
        <w:t>1.1. Инструкция устанавливает порядок работы на автооператорной линии цинкования АГ-40, инв. № ОС-0903, цех №4 Пермской площадки.</w:t>
      </w:r>
    </w:p>
    <w:p>
      <w:r>
        <w:t>1.2. Инструкция обязательна для операторов гальванических линий, выполняющих цинкование деталей по технологическим картам.</w:t>
      </w:r>
    </w:p>
    <w:p>
      <w:r>
        <w:t>1.3. Линия отнесена к опасным производственным объектам; параметры ванн и растворов устанавливаются ТЕХ-РЕГЛ-001, настоящая инструкция описывает действия оператора.</w:t>
      </w:r>
    </w:p>
    <w:p>
      <w:pPr>
        <w:pStyle w:val="Heading2"/>
      </w:pPr>
      <w:r>
        <w:t>2. Требования к исполнителю</w:t>
      </w:r>
    </w:p>
    <w:p>
      <w:r>
        <w:t>2.1. К работе допускаются операторы гальванических линий не ниже 3 разряда, прошедшие обучение по работе с химическими веществами.</w:t>
      </w:r>
    </w:p>
    <w:p>
      <w:r>
        <w:t>2.2. Обязателен вводный инструктаж по ИОТ-005 и инструктаж по ИОТ-021 «Требования при работе на гальваническом участке», повторный — не реже одного раза в квартал.</w:t>
      </w:r>
    </w:p>
    <w:p>
      <w:r>
        <w:t>2.3. Допуск к самостоятельной работе — после стажировки не менее 10 смен под руководством мастера участка.</w:t>
      </w:r>
    </w:p>
    <w:p>
      <w:pPr>
        <w:pStyle w:val="Heading2"/>
      </w:pPr>
      <w:r>
        <w:t>3. Подготовка рабочего места и проверка станка перед началом смены</w:t>
      </w:r>
    </w:p>
    <w:p>
      <w:r>
        <w:t>3.1. Проверяется исправность автооператора, блокировок ограждений ванн и вытяжной вентиляции.</w:t>
      </w:r>
    </w:p>
    <w:p>
      <w:r>
        <w:t>3.2. Проверяется уровень раствора в ваннах цинкования, состояние анодов Ц1 и исправность выпрямителя тока.</w:t>
      </w:r>
    </w:p>
    <w:p>
      <w:r>
        <w:t>3.3. Проверяется наличие средств индивидуальной защиты (перчатки, фартук, защитные очки).</w:t>
      </w:r>
    </w:p>
    <w:p>
      <w:r>
        <w:t>3.4. Проверяется наличие технологической карты на партию и соответствие подвески деталей карте.</w:t>
      </w:r>
    </w:p>
    <w:p>
      <w:pPr>
        <w:pStyle w:val="Heading2"/>
      </w:pPr>
      <w:r>
        <w:t>4. Порядок выполнения работы</w:t>
      </w:r>
    </w:p>
    <w:p>
      <w:r>
        <w:t>4.1. Детали партии (например, плита опорная натяжной станции, обозначение 61.05.24, с требованием покрытия Ц9.хр по ГОСТ 9.306-85) навешиваются на подвеску автооператора.</w:t>
      </w:r>
    </w:p>
    <w:p>
      <w:r>
        <w:t>4.2. Оператор запускает программу автооператора, обеспечивающую последовательное прохождение деталями ванн обезжиривания, травления, цинкования и пассивации по ТЕХ-РЕГЛ-001.</w:t>
      </w:r>
    </w:p>
    <w:p>
      <w:r>
        <w:t>4.3. Толщина покрытия обеспечивается заданной силой тока и временем выдержки в ванне цинкования согласно технологической карте.</w:t>
      </w:r>
    </w:p>
    <w:p>
      <w:r>
        <w:t>4.4. После выгрузки первой партии выполняется самоконтроль по разделу 5.</w:t>
      </w:r>
    </w:p>
    <w:p>
      <w:r>
        <w:t>4.5. При положительном результате обработка следующих партий продолжается с контролем каждой партии.</w:t>
      </w:r>
    </w:p>
    <w:p>
      <w:r>
        <w:t>4.6. Обработанные детали передаются на операцию контроля ОТК.</w:t>
      </w:r>
    </w:p>
    <w:p>
      <w:pPr>
        <w:pStyle w:val="Heading2"/>
      </w:pPr>
      <w:r>
        <w:t>5. Контролируемые параметры и самоконтроль</w:t>
      </w:r>
    </w:p>
    <w:p>
      <w:r>
        <w:t>5.1. Контролируются толщина покрытия и сплошность (отсутствие непокрытых участков) по карте наладки на деталь.</w:t>
      </w:r>
    </w:p>
    <w:p>
      <w:r>
        <w:t>5.2. Периодичность самоконтроля — каждая партия, выгружаемая с линии.</w:t>
      </w:r>
    </w:p>
    <w:p>
      <w:r>
        <w:t>5.3. При отклонении толщины покрытия от нормы партия направляется контролёру ОТК для контроля по методике ОТК-МИ-005.</w:t>
      </w:r>
    </w:p>
    <w:p>
      <w:r>
        <w:t>5.4. Результаты самоконтроля заносятся в журнал операционного контроля цеха №4.</w:t>
      </w:r>
    </w:p>
    <w:p>
      <w:pPr>
        <w:pStyle w:val="Heading2"/>
      </w:pPr>
      <w:r>
        <w:t>6. Действия при отклонениях и отказах</w:t>
      </w:r>
    </w:p>
    <w:p>
      <w:r>
        <w:t>6.1. При отказе выпрямителя тока, автооператора или превышении концентрации вредных веществ в воздухе рабочей зоны оператор немедленно останавливает линию и при необходимости покидает опасную зону.</w:t>
      </w:r>
    </w:p>
    <w:p>
      <w:r>
        <w:t>6.2. О неисправности сообщается мастеру участка, оформляется заявка на ремонт по форме ЗРМ.</w:t>
      </w:r>
    </w:p>
    <w:p>
      <w:r>
        <w:t>6.3. Порядок вывода линии в ремонт и допуска после ремонта — по ТОиР-РЕГЛ-002.</w:t>
      </w:r>
    </w:p>
    <w:p>
      <w:r>
        <w:t>6.4. Детали, находившиеся в ваннах в момент отказа, направляются на дополнительный контроль ОТК перед дальнейшим движением по маршруту.</w:t>
      </w:r>
    </w:p>
    <w:p>
      <w:pPr>
        <w:pStyle w:val="Heading2"/>
      </w:pPr>
      <w:r>
        <w:t>7. Окончание смены, уборка, сдача</w:t>
      </w:r>
    </w:p>
    <w:p>
      <w:r>
        <w:t>7.1. Линия переводится в режим ожидания, ванны закрываются защитными крышками.</w:t>
      </w:r>
    </w:p>
    <w:p>
      <w:r>
        <w:t>7.2. Рабочее место и подвески очищаются от остатков раствора в соответствии с требованиями участка нейтрализации стоков.</w:t>
      </w:r>
    </w:p>
    <w:p>
      <w:r>
        <w:t>7.3. В журнале приёма-сдачи смены фиксируются количество обработанных партий и замечания по состоянию линии.</w:t>
      </w:r>
    </w:p>
    <w:p>
      <w:r>
        <w:t>7.4. Смена сдаётся мастеру участка или оператору следующей смены с росписью в журнале.</w:t>
      </w:r>
    </w:p>
    <w:p>
      <w:pPr>
        <w:pStyle w:val="Heading2"/>
      </w:pPr>
      <w:r>
        <w:t>8. Запрещается</w:t>
      </w:r>
    </w:p>
    <w:p>
      <w:r>
        <w:t>8.1. Запрещается работать на линии без средств индивидуальной защиты, предусмотренных ИОТ-021.</w:t>
      </w:r>
    </w:p>
    <w:p>
      <w:r>
        <w:t>8.2. Запрещается загружать в ванны детали, не прошедшие операцию обезжиривания.</w:t>
      </w:r>
    </w:p>
    <w:p>
      <w:r>
        <w:t>8.3. Запрещается открывать ограждения ванн во время работы автооператора.</w:t>
      </w:r>
    </w:p>
    <w:p>
      <w:r>
        <w:t>8.4. Запрещается сливать растворы и промывные воды в канализацию, минуя участок нейтрализации стоков.</w:t>
      </w:r>
    </w:p>
    <w:p>
      <w:r>
        <w:t>8.5. Запрещается продолжать работу линии при неисправном выпрямителе тока.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