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12.11.2025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01.12.2025</w:t>
      </w:r>
    </w:p>
    <w:p>
      <w:pPr>
        <w:pStyle w:val="Title"/>
      </w:pPr>
      <w:r>
        <w:t>Технологический регламент линии хромирования АГ-25Х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и параметры технологического процесса твёрдого хромирования деталей на линии АГ-25Х (инвентарный номер ОС-0911, паспорт ПС-ОС-0911, цех № 4, Пермская площадка).</w:t>
      </w:r>
    </w:p>
    <w:p>
      <w:r>
        <w:t>1.2. Регламент обязателен для операторов линии АГ-25Х, мастера участка цеха № 4 и персонала ОГМ, обслуживающего линию.</w:t>
      </w:r>
    </w:p>
    <w:p>
      <w:r>
        <w:t>1.3. Линия АГ-25Х относится к опасному производственному объекту; общие требования охраны труда при работе на гальваническом участке установлены ИОТ-021.</w:t>
      </w:r>
    </w:p>
    <w:p>
      <w:r>
        <w:t>1.4. На линии АГ-25Х хромируются детали из стали 20Х13, преимущественно штоки гидроцилиндров, для которых хромовое покрытие предусмотрено маршрутом технологической карты, например шток гидроцилиндра ГЦ-100/56 (ТК-73.22.30, ред. 1) и шток гидроцилиндра ГЦ-80/45 (ТК-73.22.31, ред. 1) с толщиной покрытия 20–25 мкм и твёрдостью 48…52 HRC.</w:t>
      </w:r>
    </w:p>
    <w:p>
      <w:r>
        <w:t>1.5. Перед поступлением на линию АГ-25Х штоки проходят термообработку ТВЧ и круглошлифовальную обработку; после хромирования — операцию полирования и контроль ОТК. Маршрут в целом устанавливается технологической картой на конкретную деталь.</w:t>
      </w:r>
    </w:p>
    <w:p>
      <w:r>
        <w:t>1.6. Техническое обслуживание и ремонт линии АГ-25Х проводятся в порядке, установленном ТОИР-РЕГЛ-001, по графику ППР-2026 с периодичностью 30 суток.</w:t>
      </w:r>
    </w:p>
    <w:p>
      <w:pPr>
        <w:pStyle w:val="Heading2"/>
      </w:pPr>
      <w:r>
        <w:t>2. Состав и параметры электролита</w:t>
      </w:r>
    </w:p>
    <w:p>
      <w:r>
        <w:t>2.1. Хромирование производится в стандартном сернокислом электролите со следующим составом: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Концентрация</w:t>
            </w:r>
          </w:p>
        </w:tc>
      </w:tr>
      <w:tr>
        <w:tc>
          <w:tcPr>
            <w:tcW w:type="dxa" w:w="4320"/>
          </w:tcPr>
          <w:p>
            <w:r>
              <w:t>Ангидрид хромовый технический</w:t>
            </w:r>
          </w:p>
        </w:tc>
        <w:tc>
          <w:tcPr>
            <w:tcW w:type="dxa" w:w="4320"/>
          </w:tcPr>
          <w:p>
            <w:r>
              <w:t>220–250 г/л</w:t>
            </w:r>
          </w:p>
        </w:tc>
      </w:tr>
      <w:tr>
        <w:tc>
          <w:tcPr>
            <w:tcW w:type="dxa" w:w="4320"/>
          </w:tcPr>
          <w:p>
            <w:r>
              <w:t>Серная кислота</w:t>
            </w:r>
          </w:p>
        </w:tc>
        <w:tc>
          <w:tcPr>
            <w:tcW w:type="dxa" w:w="4320"/>
          </w:tcPr>
          <w:p>
            <w:r>
              <w:t>2,2–2,5 г/л</w:t>
            </w:r>
          </w:p>
        </w:tc>
      </w:tr>
    </w:tbl>
    <w:p>
      <w:r>
        <w:t>2.2. Соотношение концентраций ангидрида хромового и серной кислоты поддерживается в пределах 100:1; корректировку проводит оператор линии по результатам контроля не реже одного раза в смену.</w:t>
      </w:r>
    </w:p>
    <w:p>
      <w:r>
        <w:t>2.3. Ангидрид хромовый технический относится к веществам 1 класса опасности; его выдача и учёт ведутся поштучно, доступ — по наряду.</w:t>
      </w:r>
    </w:p>
    <w:p>
      <w:pPr>
        <w:pStyle w:val="Heading2"/>
      </w:pPr>
      <w:r>
        <w:t>3. Технологический режим нанесения покрытия</w:t>
      </w:r>
    </w:p>
    <w:p>
      <w:r>
        <w:t>3.1. Плотность тока на линии поддерживается в диапазоне 40–60 А/дм² в зависимости от требуемой твёрдости и толщины покрытия.</w:t>
      </w:r>
    </w:p>
    <w:p>
      <w:r>
        <w:t>3.2. Температура электролита в ванне хромирования поддерживается в диапазоне 55–60 °C; отклонение более чем на 3 °C требует остановки подачи деталей до восстановления режима.</w:t>
      </w:r>
    </w:p>
    <w:p>
      <w:r>
        <w:t>3.3. Время выдержки деталей в ванне хромирования устанавливается технологической картой детали исходя из требуемой толщины покрытия и составляет, как правило, 90–150 минут.</w:t>
      </w:r>
    </w:p>
    <w:p>
      <w:pPr>
        <w:pStyle w:val="Heading2"/>
      </w:pPr>
      <w:r>
        <w:t>4. Подготовка поверхности</w:t>
      </w:r>
    </w:p>
    <w:p>
      <w:r>
        <w:t>4.1. Перед хромированием детали проходят обезжиривание в щелочном растворе, промывку в проточной воде и анодное декапирование для активации поверхности.</w:t>
      </w:r>
    </w:p>
    <w:p>
      <w:r>
        <w:t>4.2. Не допускается загрузка в ванну хромирования деталей с шероховатостью поверхности, не соответствующей требованиям технологической карты после операции круглошлифовальной обработки.</w:t>
      </w:r>
    </w:p>
    <w:p>
      <w:pPr>
        <w:pStyle w:val="Heading2"/>
      </w:pPr>
      <w:r>
        <w:t>5. Промывка деталей</w:t>
      </w:r>
    </w:p>
    <w:p>
      <w:r>
        <w:t>5.1. После ванны хромирования детали последовательно промываются в двух проточных ваннах холодной воды и в ванне улавливания для снижения выноса электролита.</w:t>
      </w:r>
    </w:p>
    <w:p>
      <w:r>
        <w:t>5.2. Качество промывки контролируется визуально оператором линии; при обнаружении подтёков электролита деталь возвращается на повторную промывку.</w:t>
      </w:r>
    </w:p>
    <w:p>
      <w:pPr>
        <w:pStyle w:val="Heading2"/>
      </w:pPr>
      <w:r>
        <w:t>6. Пассивация и сушка</w:t>
      </w:r>
    </w:p>
    <w:p>
      <w:r>
        <w:t>6.1. После промывки детали, направляемые на операцию полирования, обезвоживаются продувкой сжатым воздухом без нагрева для предотвращения растрескивания хромового покрытия.</w:t>
      </w:r>
    </w:p>
    <w:p>
      <w:r>
        <w:t>6.2. Детали, не требующие полирования, сушатся горячим воздухом при температуре не выше 60 °C.</w:t>
      </w:r>
    </w:p>
    <w:p>
      <w:pPr>
        <w:pStyle w:val="Heading2"/>
      </w:pPr>
      <w:r>
        <w:t>7. Контроль толщины покрытия</w:t>
      </w:r>
    </w:p>
    <w:p>
      <w:r>
        <w:t>7.1. Контроль толщины хромового покрытия проводит контролёр ОТК по методике ОТК-МИ-005 на выборке не менее 5 % партии, но не менее трёх деталей.</w:t>
      </w:r>
    </w:p>
    <w:p>
      <w:r>
        <w:t>7.2. При обнаружении несоответствия толщины покрытия партия направляется на доращивание покрытия или оформляется акт о браке в порядке, установленном ОТК-РЕГЛ-003.</w:t>
      </w:r>
    </w:p>
    <w:p>
      <w:pPr>
        <w:pStyle w:val="Heading2"/>
      </w:pPr>
      <w:r>
        <w:t>8. Работа выпрямителя</w:t>
      </w:r>
    </w:p>
    <w:p>
      <w:r>
        <w:t>8.1. Выпрямитель линии АГ-25Х подлежит визуальному осмотру оператором линии в начале каждой смены: проверяется отсутствие посторонних шумов, запаха гари и следов перегрева на корпусе.</w:t>
      </w:r>
    </w:p>
    <w:p>
      <w:r>
        <w:t>8.2. Плановое техническое обслуживание выпрямителя выполняется ОГМ в сроки, установленные графиком ППР-2026, но не реже одного раза в 30 суток.</w:t>
      </w:r>
    </w:p>
    <w:p>
      <w:r>
        <w:t>8.3. Показания амперметра и вольтметра выпрямителя оператор линии фиксирует в журнале контроля линии не реже одного раза в 2 часа.</w:t>
      </w:r>
    </w:p>
    <w:p>
      <w:pPr>
        <w:pStyle w:val="Heading2"/>
      </w:pPr>
      <w:r>
        <w:t>9. Нейтрализация стоков</w:t>
      </w:r>
    </w:p>
    <w:p>
      <w:r>
        <w:t>9.1. Отработанные растворы и промывные воды линии АГ-25Х направляются на участок нейтрализации стоков цеха № 4 и не подлежат сливу в общую канализацию без нейтрализации.</w:t>
      </w:r>
    </w:p>
    <w:p>
      <w:pPr>
        <w:pStyle w:val="Heading2"/>
      </w:pPr>
      <w:r>
        <w:t>10. Аварийная остановка линии</w:t>
      </w:r>
    </w:p>
    <w:p>
      <w:r>
        <w:t>10.1. Основаниями для немедленной аварийной остановки линии АГ-25Х являются: отклонение температуры электролита сверх значений, указанных в п. 3.2, более чем на 15 минут, утечка электролита за пределы ванны, отказ системы вентиляции участка.</w:t>
      </w:r>
    </w:p>
    <w:p>
      <w:r>
        <w:t>10.2. Аварийную остановку производит оператор линии самостоятельно, без согласования, с немедленным уведомлением мастера участка и ОГМ.</w:t>
      </w:r>
    </w:p>
    <w:p>
      <w:r>
        <w:t>10.3. Порядок вывода линии в ремонт после аварийной остановки и допуска к эксплуатации после ремонта устанавливается ТОИР-РЕГЛ-002.</w:t>
      </w:r>
    </w:p>
    <w:p>
      <w:pPr>
        <w:pStyle w:val="Heading2"/>
      </w:pPr>
      <w:r>
        <w:t>11. Требования охраны труда</w:t>
      </w:r>
    </w:p>
    <w:p>
      <w:r>
        <w:t>11.1. Персонал линии АГ-25Х работает в средствах индивидуальной защиты, предусмотренных ИОТ-021, и проходит инструктаж по охране труда при работе на гальваническом участке не реже одного раза в 6 месяцев.</w:t>
      </w:r>
    </w:p>
    <w:p>
      <w:r>
        <w:t>11.2. Работы с ангидридом хромовым техническим и корректировка электролита выполняются только персоналом, прошедшим обучение по обращению с веществами 1 класса опасности.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