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21.06.2026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28.06.2026</w:t>
      </w:r>
    </w:p>
    <w:p>
      <w:pPr>
        <w:pStyle w:val="Title"/>
      </w:pPr>
      <w:r>
        <w:t>Технологическая карта на деталь 88.14.53 «Узел редуктора Р-160 в сборе»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88.14.53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Узел редуктора Р-160 в сборе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по сборочному чертежу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сборочная единица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128.0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tolyatti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ceh-5</w:t>
            </w:r>
          </w:p>
        </w:tc>
      </w:tr>
    </w:tbl>
    <w:p>
      <w:r>
        <w:t>1.1. Сборочная единица комплектуется деталями: 45.67.89, 45.67.90, 52.31.10, 52.31.11, 61.05.20, 61.05.21, 88.14.40.</w:t>
      </w:r>
    </w:p>
    <w:p>
      <w:pPr>
        <w:pStyle w:val="Heading2"/>
      </w:pPr>
      <w:r>
        <w:t>2. Маршрут обработки</w:t>
      </w:r>
    </w:p>
    <w:p>
      <w:pPr>
        <w:pStyle w:val="Heading3"/>
      </w:pPr>
      <w:r>
        <w:t>085 Сборка</w:t>
      </w:r>
    </w:p>
    <w:p>
      <w:r>
        <w:t>Оборудование: П-6330, инв. № ОС-1120. Инструмент: Оснастка сборочная, пресс.</w:t>
      </w:r>
    </w:p>
    <w:p>
      <w:pPr>
        <w:pStyle w:val="Heading3"/>
      </w:pPr>
      <w:r>
        <w:t>090 Обкатка на стенде</w:t>
      </w:r>
    </w:p>
    <w:p>
      <w:r>
        <w:t>Оборудование: П-6330, инв. № ОС-1120. Инструмент: Стенд обкатки. Охлаждение: масло И-20А.</w:t>
      </w:r>
    </w:p>
    <w:p>
      <w:pPr>
        <w:pStyle w:val="Heading3"/>
      </w:pPr>
      <w:r>
        <w:t>095 Консервация</w:t>
      </w:r>
    </w:p>
    <w:p>
      <w:r>
        <w:t>Оборудование: по указанию мастера участка. Инструмент: —. Охлаждение: масло К-17.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уровень шума, дБ</w:t>
            </w:r>
          </w:p>
        </w:tc>
        <w:tc>
          <w:tcPr>
            <w:tcW w:type="dxa" w:w="4320"/>
          </w:tcPr>
          <w:p>
            <w:r>
              <w:t>≤ 78</w:t>
            </w:r>
          </w:p>
        </w:tc>
      </w:tr>
      <w:tr>
        <w:tc>
          <w:tcPr>
            <w:tcW w:type="dxa" w:w="4320"/>
          </w:tcPr>
          <w:p>
            <w:r>
              <w:t>течь масла</w:t>
            </w:r>
          </w:p>
        </w:tc>
        <w:tc>
          <w:tcPr>
            <w:tcW w:type="dxa" w:w="4320"/>
          </w:tcPr>
          <w:p>
            <w:r>
              <w:t>не допускается</w:t>
            </w:r>
          </w:p>
        </w:tc>
      </w:tr>
      <w:tr>
        <w:tc>
          <w:tcPr>
            <w:tcW w:type="dxa" w:w="4320"/>
          </w:tcPr>
          <w:p>
            <w:r>
              <w:t>время обкатки, мин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