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цеха</w:t>
      </w:r>
    </w:p>
    <w:p>
      <w:r>
        <w:rPr>
          <w:i/>
        </w:rPr>
        <w:t>Дата утверждения: 11.02.2026</w:t>
      </w:r>
    </w:p>
    <w:p>
      <w:pPr>
        <w:pStyle w:val="Title"/>
      </w:pPr>
      <w:r>
        <w:t>Заявка на ремонт: аварийная замена подшипников шпинделя станка 16К20Ф3</w:t>
      </w:r>
    </w:p>
    <w:p>
      <w:pPr>
        <w:pStyle w:val="Heading2"/>
      </w:pPr>
      <w:r>
        <w:t>1. Оборудование</w:t>
      </w:r>
    </w:p>
    <w:p>
      <w:r>
        <w:t>1.1. Токарно-винторезный станок с ЧПУ 16К20Ф3, инвентарный номер ОС-1041, цех №1, токарно-фрезерный, Ковровская площадка.</w:t>
      </w:r>
    </w:p>
    <w:p>
      <w:pPr>
        <w:pStyle w:val="Heading2"/>
      </w:pPr>
      <w:r>
        <w:t>2. Описание неисправности</w:t>
      </w:r>
    </w:p>
    <w:p>
      <w:r>
        <w:t>2.1. 11.02.2026, 13:20, сработала тепловая защита привода шпинделя, станок остановлен аварийно. Осмотром подтверждён перегрев подшипников передней бабки из-за недостатка смазки. Обстоятельства зафиксированы в разборе ИНЦ-2026-02.</w:t>
      </w:r>
    </w:p>
    <w:p>
      <w:pPr>
        <w:pStyle w:val="Heading2"/>
      </w:pPr>
      <w:r>
        <w:t>3. Влияние на производство</w:t>
      </w:r>
    </w:p>
    <w:p>
      <w:r>
        <w:t>3.1. Работа станка полностью запрещена до замены подшипников. Встала обработка партии детали 45.67.93 «Вал-шестерня привода конвейера» для ООО «Конвейер-Системс».</w:t>
      </w:r>
    </w:p>
    <w:p>
      <w:pPr>
        <w:pStyle w:val="Heading2"/>
      </w:pPr>
      <w:r>
        <w:t>4. Требуемые работы и запасные части</w:t>
      </w:r>
    </w:p>
    <w:p>
      <w:r>
        <w:t>4.1. Демонтаж передней бабки, замена подшипников шпиндельного узла, промывка и пополнение смазки, контрольный прогон без нагрузки.</w:t>
      </w:r>
    </w:p>
    <w:p>
      <w:r>
        <w:t>4.2. Требуются подшипники шпинделя по спецификации станка (комплект), заказ по ускоренной процедуре отдела снабжения.</w:t>
      </w:r>
    </w:p>
    <w:p>
      <w:pPr>
        <w:pStyle w:val="Heading2"/>
      </w:pPr>
      <w:r>
        <w:t>5. Предлагаемое окно остановки</w:t>
      </w:r>
    </w:p>
    <w:p>
      <w:r>
        <w:t>5.1. 11.02.2026–12.02.2026, аварийная остановка, вне графика ППР PPR-2026.</w:t>
      </w:r>
    </w:p>
    <w:p>
      <w:pPr>
        <w:pStyle w:val="Heading2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Дата</w:t>
            </w:r>
          </w:p>
        </w:tc>
      </w:tr>
      <w:tr>
        <w:tc>
          <w:tcPr>
            <w:tcW w:type="dxa" w:w="4320"/>
          </w:tcPr>
          <w:p>
            <w:r>
              <w:t>Мастер участка</w:t>
            </w:r>
          </w:p>
        </w:tc>
        <w:tc>
          <w:tcPr>
            <w:tcW w:type="dxa" w:w="4320"/>
          </w:tcPr>
          <w:p>
            <w:r>
              <w:t>11.02.2026</w:t>
            </w:r>
          </w:p>
        </w:tc>
      </w:tr>
      <w:tr>
        <w:tc>
          <w:tcPr>
            <w:tcW w:type="dxa" w:w="4320"/>
          </w:tcPr>
          <w:p>
            <w:r>
              <w:t>Начальник цеха</w:t>
            </w:r>
          </w:p>
        </w:tc>
        <w:tc>
          <w:tcPr>
            <w:tcW w:type="dxa" w:w="4320"/>
          </w:tcPr>
          <w:p>
            <w:r>
              <w:t>11.02.2026</w:t>
            </w:r>
          </w:p>
        </w:tc>
      </w:tr>
      <w:tr>
        <w:tc>
          <w:tcPr>
            <w:tcW w:type="dxa" w:w="4320"/>
          </w:tcPr>
          <w:p>
            <w:r>
              <w:t>Главный механик</w:t>
            </w:r>
          </w:p>
        </w:tc>
        <w:tc>
          <w:tcPr>
            <w:tcW w:type="dxa" w:w="4320"/>
          </w:tcPr>
          <w:p>
            <w:r>
              <w:t>11.02.2026</w:t>
            </w:r>
          </w:p>
        </w:tc>
      </w:tr>
    </w:tbl>
    <w:p>
      <w:r>
        <w:t>Заявка оформлена по ТОиР-РЕГЛ-002.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