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цеха</w:t>
      </w:r>
    </w:p>
    <w:p>
      <w:r>
        <w:rPr>
          <w:i/>
        </w:rPr>
        <w:t>Дата утверждения: 09.07.2026</w:t>
      </w:r>
    </w:p>
    <w:p>
      <w:pPr>
        <w:pStyle w:val="Title"/>
      </w:pPr>
      <w:r>
        <w:t>Заявка на ремонт: аварийная замена выпрямителя линии цинкования АГ-40</w:t>
      </w:r>
    </w:p>
    <w:p>
      <w:pPr>
        <w:pStyle w:val="Heading2"/>
      </w:pPr>
      <w:r>
        <w:t>1. Оборудование</w:t>
      </w:r>
    </w:p>
    <w:p>
      <w:r>
        <w:t>1.1. Линия цинкования, автооператорная АГ-40, инвентарный номер ОС-0903, цех №4, гальванический, Пермская площадка. Паспорт ПС-ОС-0903.</w:t>
      </w:r>
    </w:p>
    <w:p>
      <w:pPr>
        <w:pStyle w:val="Heading2"/>
      </w:pPr>
      <w:r>
        <w:t>2. Описание неисправности</w:t>
      </w:r>
    </w:p>
    <w:p>
      <w:r>
        <w:t>2.1. 09.07.2026, 09:25, вышли из строя силовые тиристорные блоки выпрямителя постоянного тока вследствие перегрева. Ремонт на месте невозможен, требуется замена агрегата. Обстоятельства зафиксированы в разборе ИНЦ-2026-05.</w:t>
      </w:r>
    </w:p>
    <w:p>
      <w:pPr>
        <w:pStyle w:val="Heading2"/>
      </w:pPr>
      <w:r>
        <w:t>3. Влияние на производство</w:t>
      </w:r>
    </w:p>
    <w:p>
      <w:r>
        <w:t>3.1. Линия цинкования полностью остановлена, ток на ваннах отсутствует. Встали партии деталей 73.22.34 и 88.14.42 для заказчиков АО «Гидромаш-Юг» и ООО «Конвейер-Системс».</w:t>
      </w:r>
    </w:p>
    <w:p>
      <w:pPr>
        <w:pStyle w:val="Heading2"/>
      </w:pPr>
      <w:r>
        <w:t>4. Требуемые работы и запасные части</w:t>
      </w:r>
    </w:p>
    <w:p>
      <w:r>
        <w:t>4.1. Демонтаж повреждённого выпрямителя, монтаж нового агрегата, проверка изоляции и заземления, пусконаладка.</w:t>
      </w:r>
    </w:p>
    <w:p>
      <w:r>
        <w:t>4.2. Требуется комплект силовых тиристорных блоков выпрямителя, срочная поставка через отдел снабжения, привлечение подрядной организации по договору ТНЭ-2025 для наладки.</w:t>
      </w:r>
    </w:p>
    <w:p>
      <w:pPr>
        <w:pStyle w:val="Heading2"/>
      </w:pPr>
      <w:r>
        <w:t>5. Предлагаемое окно остановки</w:t>
      </w:r>
    </w:p>
    <w:p>
      <w:r>
        <w:t>5.1. 09.07.2026–10.07.2026, аварийная заявка, вне графика ППР PPR-2026.</w:t>
      </w:r>
    </w:p>
    <w:p>
      <w:pPr>
        <w:pStyle w:val="Heading2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Дата</w:t>
            </w:r>
          </w:p>
        </w:tc>
      </w:tr>
      <w:tr>
        <w:tc>
          <w:tcPr>
            <w:tcW w:type="dxa" w:w="4320"/>
          </w:tcPr>
          <w:p>
            <w:r>
              <w:t>Мастер участка</w:t>
            </w:r>
          </w:p>
        </w:tc>
        <w:tc>
          <w:tcPr>
            <w:tcW w:type="dxa" w:w="4320"/>
          </w:tcPr>
          <w:p>
            <w:r>
              <w:t>09.07.2026</w:t>
            </w:r>
          </w:p>
        </w:tc>
      </w:tr>
      <w:tr>
        <w:tc>
          <w:tcPr>
            <w:tcW w:type="dxa" w:w="4320"/>
          </w:tcPr>
          <w:p>
            <w:r>
              <w:t>Начальник цеха</w:t>
            </w:r>
          </w:p>
        </w:tc>
        <w:tc>
          <w:tcPr>
            <w:tcW w:type="dxa" w:w="4320"/>
          </w:tcPr>
          <w:p>
            <w:r>
              <w:t>09.07.2026</w:t>
            </w:r>
          </w:p>
        </w:tc>
      </w:tr>
      <w:tr>
        <w:tc>
          <w:tcPr>
            <w:tcW w:type="dxa" w:w="4320"/>
          </w:tcPr>
          <w:p>
            <w:r>
              <w:t>Главный механик</w:t>
            </w:r>
          </w:p>
        </w:tc>
        <w:tc>
          <w:tcPr>
            <w:tcW w:type="dxa" w:w="4320"/>
          </w:tcPr>
          <w:p>
            <w:r>
              <w:t>09.07.2026</w:t>
            </w:r>
          </w:p>
        </w:tc>
      </w:tr>
    </w:tbl>
    <w:p>
      <w:r>
        <w:t>Заявка оформлена по ТОиР-РЕГЛ-002.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