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05.05.2026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12.05.2026</w:t>
      </w:r>
    </w:p>
    <w:p>
      <w:pPr>
        <w:pStyle w:val="Title"/>
      </w:pPr>
      <w:r>
        <w:t>Типовые технические вопросы клиентов и ответы</w:t>
      </w:r>
    </w:p>
    <w:p>
      <w:pPr>
        <w:pStyle w:val="Heading2"/>
      </w:pPr>
      <w:r>
        <w:t>1. Материалы и термообработка</w:t>
      </w:r>
    </w:p>
    <w:p>
      <w:r>
        <w:t>1.1. Вопрос: из какого материала изготавливаются валы редукторов Р-160 и Р-125? Ответ: сталь 40Х, ГОСТ 4543-2016, круг горячекатаный. Заготовка поступает от поставщика ООО «Прикамье-Прокат» по договору ПП-2025/14, каждая партия проходит входной контроль по номеру плавки.</w:t>
      </w:r>
    </w:p>
    <w:p>
      <w:r>
        <w:t>1.2. Вопрос: из какого материала изготавливаются нагруженные валы редуктора Р-200 и ответственные шестерни? Ответ: сталь 38ХС, ГОСТ 4543-2016, поковка.</w:t>
      </w:r>
    </w:p>
    <w:p>
      <w:r>
        <w:t>1.3. Вопрос: из какого материала изготавливаются корпуса редукторов? Ответ: чугун СЧ20, ГОСТ 1412-85, отливка.</w:t>
      </w:r>
    </w:p>
    <w:p>
      <w:r>
        <w:t>1.4. Вопрос: из какого материала изготавливаются втулки скольжения? Ответ: бронза БрАЖ9-4, ГОСТ 18175-78, литая заготовка.</w:t>
      </w:r>
    </w:p>
    <w:p>
      <w:r>
        <w:t>1.5. Вопрос: какая твёрдость у вала выходного редуктора Р-160 (черт. 45.67.89) после термообработки? Ответ: HRC 45…50, закалка ТВЧ.</w:t>
      </w:r>
    </w:p>
    <w:p>
      <w:pPr>
        <w:pStyle w:val="Heading2"/>
      </w:pPr>
      <w:r>
        <w:t>2. Допуски и точность</w:t>
      </w:r>
    </w:p>
    <w:p>
      <w:r>
        <w:t>2.1. Вопрос: какой допуск радиального биения у вала выходного редуктора Р-160 (черт. 45.67.89)? Ответ: не более 0,03 мм по действующей норме технологической карты.</w:t>
      </w:r>
    </w:p>
    <w:p>
      <w:r>
        <w:t>2.2. Вопрос: какая степень точности зубчатого венца у цилиндрической шестерни z=24, m=4 (черт. 52.31.10)? Ответ: степень 7-C по ГОСТ 1643-81.</w:t>
      </w:r>
    </w:p>
    <w:p>
      <w:r>
        <w:t>2.3. Вопрос: какая степень точности у конической шестерни z=18, m=5 (черт. 52.31.12)? Ответ: степень 8-C по ГОСТ 1758-81.</w:t>
      </w:r>
    </w:p>
    <w:p>
      <w:r>
        <w:t>2.4. Вопрос: какая шероховатость поверхности у штока гидроцилиндра ГЦ-100/56 (черт. 73.22.30)? Ответ: Ra 0,32.</w:t>
      </w:r>
    </w:p>
    <w:p>
      <w:pPr>
        <w:pStyle w:val="Heading2"/>
      </w:pPr>
      <w:r>
        <w:t>3. Покрытия</w:t>
      </w:r>
    </w:p>
    <w:p>
      <w:r>
        <w:t>3.1. Вопрос: какое покрытие наносится на шток гидроцилиндра ГЦ-100/56? Ответ: хромирование, толщина 20…25 мкм, с последующим полированием.</w:t>
      </w:r>
    </w:p>
    <w:p>
      <w:r>
        <w:t>3.2. Вопрос: какое покрытие применяется для деталей после цинкования, например для плиты опорной натяжной станции (черт. 61.05.24)? Ответ: Ц9.хр по ГОСТ 9.306-85.</w:t>
      </w:r>
    </w:p>
    <w:p>
      <w:pPr>
        <w:pStyle w:val="Heading2"/>
      </w:pPr>
      <w:r>
        <w:t>4. Испытания и приёмка</w:t>
      </w:r>
    </w:p>
    <w:p>
      <w:r>
        <w:t>4.1. Вопрос: до какого давления испытывается гидроцилиндр ГЦ-100/56 в сборе (черт. 88.14.54)? Ответ: 250 бар, течь рабочей жидкости не допускается. Ход штока — 700 мм.</w:t>
      </w:r>
    </w:p>
    <w:p>
      <w:pPr>
        <w:pStyle w:val="Heading2"/>
      </w:pPr>
      <w:r>
        <w:t>5. Сроки изготовления</w:t>
      </w:r>
    </w:p>
    <w:p>
      <w:r>
        <w:t>5.1. Вопрос: какой стандартный срок изготовления валов и осей? Ответ: 21 день, ускоренный — 12 дней с наценкой 20 % к стоимости партии. Отсчёт срока — с даты подтверждения заказа, а не с даты его поступления, если требуется уточнение номенклатуры.</w:t>
      </w:r>
    </w:p>
    <w:p>
      <w:r>
        <w:t>5.2. Вопрос: какой стандартный срок изготовления шестерён и колёс? Ответ: 28 дней, ускоренный — 18 дней с наценкой 25 %.</w:t>
      </w:r>
    </w:p>
    <w:p>
      <w:r>
        <w:t>5.3. Вопрос: какой стандартный срок изготовления корпусных деталей? Ответ: 30 дней, ускоренный — 20 дней с наценкой 25 %.</w:t>
      </w:r>
    </w:p>
    <w:p>
      <w:r>
        <w:t>5.4. Вопрос: какой стандартный срок изготовления штоков и деталей гидроцилиндров? Ответ: 25 дней, ускоренный — 15 дней с наценкой 20 %.</w:t>
      </w:r>
    </w:p>
    <w:p>
      <w:r>
        <w:t>5.5. Вопрос: какой стандартный срок изготовления узлов в сборе? Ответ: 45 дней, ускоренный — 30 дней с наценкой 30 %.</w:t>
      </w:r>
    </w:p>
    <w:p>
      <w:pPr>
        <w:pStyle w:val="Heading2"/>
      </w:pPr>
      <w:r>
        <w:t>6. Гарантия</w:t>
      </w:r>
    </w:p>
    <w:p>
      <w:r>
        <w:t>6.1. Вопрос: какая гарантия на деталь? Ответ: 12 месяцев с даты отгрузки.</w:t>
      </w:r>
    </w:p>
    <w:p>
      <w:r>
        <w:t>6.2. Вопрос: какая гарантия на узел в сборе? Ответ: 18 месяцев с даты отгрузки, но не более 12 месяцев фактической эксплуатации — какой из двух сроков наступит раньше, тот и действует; подробнее — SALES-POL-GARANTIYA.</w:t>
      </w:r>
    </w:p>
    <w:p>
      <w:r>
        <w:t>6.4. Вопрос: отличаются ли гарантийные условия по отдельным договорам? Ответ: да, например по договору ГЮ-2025/04 с АО «Гидромаш-Юг» гарантия на поставляемые штоки и гидроцилиндры установлена отдельным пунктом договора — 18 месяцев с даты отгрузки, но не более 12 месяцев эксплуатации, то есть как для узлов в сборе, а не по базовому правилу для деталей.</w:t>
      </w:r>
    </w:p>
    <w:p>
      <w:r>
        <w:t>6.3. Вопрос: что не покрывает гарантия? Ответ: нарушение условий монтажа, эксплуатация вне паспортных режимов, механические повреждения.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