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17.03.2026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24.03.2026</w:t>
      </w:r>
    </w:p>
    <w:p>
      <w:pPr>
        <w:pStyle w:val="Title"/>
      </w:pPr>
      <w:r>
        <w:t>Гарантийная политика</w:t>
      </w:r>
    </w:p>
    <w:p>
      <w:pPr>
        <w:pStyle w:val="Heading2"/>
      </w:pPr>
      <w:r>
        <w:t>1. Назначение</w:t>
      </w:r>
    </w:p>
    <w:p>
      <w:r>
        <w:t>1.1. Настоящая политика устанавливает гарантийные сроки на продукцию ГК «Родос-Деталь», порядок рассмотрения гарантийных обращений и условия, при которых гарантия не применяется.</w:t>
      </w:r>
    </w:p>
    <w:p>
      <w:r>
        <w:t>1.2. Политика распространяется на все виды продукции, реализуемой по прайс-листу: детали, поставляемые отдельно, и узлы в сборе.</w:t>
      </w:r>
    </w:p>
    <w:p>
      <w:pPr>
        <w:pStyle w:val="Heading2"/>
      </w:pPr>
      <w:r>
        <w:t>2. Гарантийные сроки</w:t>
      </w:r>
    </w:p>
    <w:p>
      <w:r>
        <w:t>2.1. Гарантийный срок на детали, поставляемые отдельно (не в составе узла в сборе), составляет 12 месяцев с даты отгрузки.</w:t>
      </w:r>
    </w:p>
    <w:p>
      <w:r>
        <w:t>2.2. Гарантийный срок на узлы в сборе составляет 18 месяцев с даты отгрузки, но не более 12 месяцев фактической эксплуатации — гарантия действует до наступления более раннего из этих двух сроков.</w:t>
      </w:r>
    </w:p>
    <w:p>
      <w:r>
        <w:t>2.3. Для отдельных контрагентов гарантийный срок может быть установлен договором отдельно от базового правила по пунктам 2.1–2.2. Например, по договору ГЮ-2025/04 с АО «Гидромаш-Юг» на штоки, гильзы и гидроцилиндры в сборе установлен единый гарантийный срок 18 месяцев с даты отгрузки, но не более 12 месяцев эксплуатации, независимо от того, поставляется деталь отдельно или в составе узла.</w:t>
      </w:r>
    </w:p>
    <w:p>
      <w:r>
        <w:t>2.4. При противоречии между настоящей политикой и условием конкретного договора поставки применяется условие договора.</w:t>
      </w:r>
    </w:p>
    <w:p>
      <w:pPr>
        <w:pStyle w:val="Heading2"/>
      </w:pPr>
      <w:r>
        <w:t>3. Что покрывает гарантия</w:t>
      </w:r>
    </w:p>
    <w:p>
      <w:r>
        <w:t>3.1. Гарантия покрывает несоответствие продукции требованиям конструкторской и технологической документации, действовавшей на дату изготовления партии, выявленное в течение гарантийного срока при соблюдении условий монтажа и эксплуатации.</w:t>
      </w:r>
    </w:p>
    <w:p>
      <w:r>
        <w:t>3.2. Гарантия распространяется на дефекты материала и изготовления, включая отклонения по геометрическим размерам, твёрдости, покрытию и комплектности, подтверждённые по итогам разбора ОТК.</w:t>
      </w:r>
    </w:p>
    <w:p>
      <w:pPr>
        <w:pStyle w:val="Heading2"/>
      </w:pPr>
      <w:r>
        <w:t>4. Что гарантия не покрывает</w:t>
      </w:r>
    </w:p>
    <w:p>
      <w:r>
        <w:t>4.1. Нарушение условий монтажа — установка детали или узла с отклонением от требований эксплуатационной документации либо конструкторской документации заказчика, если она была передана вместе с заказом.</w:t>
      </w:r>
    </w:p>
    <w:p>
      <w:r>
        <w:t>4.2. Эксплуатация вне паспортных режимов — превышение допустимой нагрузки, давления, скорости вращения или иных параметров, установленных для изделия.</w:t>
      </w:r>
    </w:p>
    <w:p>
      <w:r>
        <w:t>4.3. Механические повреждения, возникшие после отгрузки: удары, деформации, повреждения при разгрузке или хранении на стороне клиента.</w:t>
      </w:r>
    </w:p>
    <w:p>
      <w:r>
        <w:t>4.4. Естественный износ трущихся поверхностей и уплотнений сверх гарантийного срока, а также последствия применения смазочных материалов и рабочих жидкостей, не соответствующих паспорту изделия.</w:t>
      </w:r>
    </w:p>
    <w:p>
      <w:r>
        <w:t>4.5. Самостоятельная разборка, доработка или ремонт изделия клиентом или третьей стороной без письменного согласования с ГК «Родос-Деталь» до истечения гарантийного срока.</w:t>
      </w:r>
    </w:p>
    <w:p>
      <w:pPr>
        <w:pStyle w:val="Heading2"/>
      </w:pPr>
      <w:r>
        <w:t>5. Порядок рассмотрения гарантийного обращения</w:t>
      </w:r>
    </w:p>
    <w:p>
      <w:r>
        <w:t>5.1. Гарантийное обращение клиента рассматривается в порядке, установленном SALES-REGL-REKLAM: приём и регистрация в реестре рекламаций, при необходимости — выезд представителя, разбор ОТК.</w:t>
      </w:r>
    </w:p>
    <w:p>
      <w:r>
        <w:t>5.2. Если разбор подтверждает случай, покрываемый гарантией по разделу 3, коммерческий отдел предлагает клиенту замену или ремонт изделия по правилам раздела 6.</w:t>
      </w:r>
    </w:p>
    <w:p>
      <w:r>
        <w:t>5.3. Если разбор устанавливает исключение по разделу 4, менеджер по продажам сообщает клиенту обоснованный отказ в гарантийном обслуживании со ссылкой на конкретный пункт настоящей политики.</w:t>
      </w:r>
    </w:p>
    <w:p>
      <w:r>
        <w:t>5.4. Спорные случаи, когда причина не может быть однозначно отнесена к разделу 3 или разделу 4, передаются на решение коммерческому директору совместно с начальником ОТК.</w:t>
      </w:r>
    </w:p>
    <w:p>
      <w:pPr>
        <w:pStyle w:val="Heading2"/>
      </w:pPr>
      <w:r>
        <w:t>6. Замена или ремонт</w:t>
      </w:r>
    </w:p>
    <w:p>
      <w:r>
        <w:t>6.1. Решение о замене изделия целиком или о ремонте (доработке) принимается по итогам разбора ОТК с учётом характера несоответствия: при дефекте материала или базовой геометрии, как правило, производится замена; при устранимом отклонении, не влияющем на несущие элементы, возможен ремонт.</w:t>
      </w:r>
    </w:p>
    <w:p>
      <w:r>
        <w:t>6.2. Срок замены или ремонта по подтверждённому гарантийному случаю согласовывается с клиентом индивидуально, с учётом стандартного или ускоренного цикла изготовления по группе деталей.</w:t>
      </w:r>
    </w:p>
    <w:p>
      <w:r>
        <w:t>6.3. Гарантийный срок на отремонтированную или заменённую часть изделия исчисляется заново с даты передачи клиенту, но не распространяется на части изделия, не затронутые ремонтом или заменой.</w:t>
      </w:r>
    </w:p>
    <w:p>
      <w:pPr>
        <w:pStyle w:val="Heading2"/>
      </w:pPr>
      <w:r>
        <w:t>7. Документальное оформление</w:t>
      </w:r>
    </w:p>
    <w:p>
      <w:r>
        <w:t>7.1. Гарантийный случай оформляется актом о браке ОТК и, при открытии, отчётом 8D в порядке, установленном ОТК-РЕГЛ-004.</w:t>
      </w:r>
    </w:p>
    <w:p>
      <w:r>
        <w:t>7.2. Отказ в гарантийном обслуживании оформляется письменно с указанием установленной причины и пункта настоящей политики, являющегося основанием отказа.</w:t>
      </w:r>
    </w:p>
    <w:p>
      <w:r>
        <w:t>7.3. Все гарантийные обращения фиксируются в реестре рекламаций SALES-REESTR-REKLAM-2026 независимо от исхода рассмотрения.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