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Коммерческий директор</w:t>
      </w:r>
    </w:p>
    <w:p>
      <w:r>
        <w:rPr>
          <w:i/>
        </w:rPr>
        <w:t>Дата утверждения: 20.08.2026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01.09.2026</w:t>
      </w:r>
    </w:p>
    <w:p>
      <w:pPr>
        <w:pStyle w:val="Title"/>
      </w:pPr>
      <w:r>
        <w:t>Приложение: гарантийные обязательства</w:t>
      </w:r>
    </w:p>
    <w:p>
      <w:r>
        <w:t>Настоящее приложение является неотъемлемой частью договора поставки продукции, заключаемого по типовой форме SALES-DOG-TIPOVOY, и устанавливает гарантийные обязательства Поставщика.</w:t>
      </w:r>
    </w:p>
    <w:p>
      <w:pPr>
        <w:pStyle w:val="Heading2"/>
      </w:pPr>
      <w:r>
        <w:t>1. Гарантийный срок</w:t>
      </w:r>
    </w:p>
    <w:p>
      <w:r>
        <w:t>1.1. Гарантийный срок на продукцию составляет 12 месяцев с даты отгрузки, если иной срок не установлен техническими условиями на конкретное изделие.</w:t>
      </w:r>
    </w:p>
    <w:p>
      <w:r>
        <w:t>1.2. На узлы в сборе (артикулы RD-881453 «Узел редуктора Р-160 в сборе» и RD-881454 «Гидроцилиндр ГЦ-100/56 в сборе») установлен гарантийный срок 18 месяцев с даты отгрузки, но не более 12 месяцев фактической эксплуатации изделия.</w:t>
      </w:r>
    </w:p>
    <w:p>
      <w:r>
        <w:t>1.3. Дата отгрузки определяется по дате товаросопроводительного документа.</w:t>
      </w:r>
    </w:p>
    <w:p>
      <w:r>
        <w:t>1.4. Дата начала фактической эксплуатации узла в сборе для целей пункта 1.2 определяется по акту ввода в эксплуатацию, составляемому Покупателем; при отсутствии акта датой начала эксплуатации считается дата, наступающая через 30 календарных дней после даты отгрузки.</w:t>
      </w:r>
    </w:p>
    <w:p>
      <w:pPr>
        <w:pStyle w:val="Heading2"/>
      </w:pPr>
      <w:r>
        <w:t>2. Условия гарантии</w:t>
      </w:r>
    </w:p>
    <w:p>
      <w:r>
        <w:t>2.1. Гарантийные обязательства действуют при соблюдении Покупателем условий монтажа, хранения и эксплуатации изделия, установленных техническими условиями и эксплуатационной документацией.</w:t>
      </w:r>
    </w:p>
    <w:p>
      <w:r>
        <w:t>2.2. В течение гарантийного срока Поставщик за свой счёт устраняет недостатки продукции, возникшие по вине изготовителя, путём ремонта, замены изделия или возврата его стоимости — по выбору Поставщика.</w:t>
      </w:r>
    </w:p>
    <w:p>
      <w:pPr>
        <w:pStyle w:val="Heading2"/>
      </w:pPr>
      <w:r>
        <w:t>3. Исключения из гарантии</w:t>
      </w:r>
    </w:p>
    <w:p>
      <w:r>
        <w:t>3.1. Гарантия не распространяется на неисправности, возникшие вследствие нарушения условий монтажа продукции.</w:t>
      </w:r>
    </w:p>
    <w:p>
      <w:r>
        <w:t>3.2. Гарантия не распространяется на неисправности, возникшие вследствие эксплуатации продукции вне паспортных режимов, установленных технической документацией.</w:t>
      </w:r>
    </w:p>
    <w:p>
      <w:r>
        <w:t>3.3. Гарантия не распространяется на механические повреждения продукции, полученные после отгрузки.</w:t>
      </w:r>
    </w:p>
    <w:p>
      <w:pPr>
        <w:pStyle w:val="Heading2"/>
      </w:pPr>
      <w:r>
        <w:t>4. Порядок предъявления гарантийной претензии</w:t>
      </w:r>
    </w:p>
    <w:p>
      <w:r>
        <w:t>4.1. Гарантийная претензия предъявляется Поставщику в порядке, установленном приложением SALES-PRIL-KACHESTVO, с указанием номера партии и даты отгрузки.</w:t>
      </w:r>
    </w:p>
    <w:p>
      <w:r>
        <w:t>4.2. Претензия, предъявленная по истечении гарантийного срока, установленного пунктом 1.1 или 1.2 настоящего приложения, к рассмотрению в рамках гарантийных обязательств не принимается.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