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20.08.2026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01.09.2026</w:t>
      </w:r>
    </w:p>
    <w:p>
      <w:pPr>
        <w:pStyle w:val="Title"/>
      </w:pPr>
      <w:r>
        <w:t>Приложение: условия поставки и логистика</w:t>
      </w:r>
    </w:p>
    <w:p>
      <w:r>
        <w:t>Настоящее приложение является неотъемлемой частью договора поставки продукции, заключаемого по типовой форме SALES-DOG-TIPOVOY, и устанавливает условия поставки и порядок организации перевозок продукции.</w:t>
      </w:r>
    </w:p>
    <w:p>
      <w:pPr>
        <w:pStyle w:val="Heading2"/>
      </w:pPr>
      <w:r>
        <w:t>1. Способы поставки</w:t>
      </w:r>
    </w:p>
    <w:p>
      <w:r>
        <w:t>1.1. Поставка продукции осуществляется одним из способов, указанных в спецификации: самовывозом Покупателем со склада готовой продукции в Тольятти либо доставкой транспортом, привлечённым Поставщиком.</w:t>
      </w:r>
    </w:p>
    <w:p>
      <w:r>
        <w:t>1.2. Доставка продукции транспортом, привлечённым Поставщиком, выполняется ООО «Логистик-Лайн» по договору ЛЛ-2025/05.</w:t>
      </w:r>
    </w:p>
    <w:p>
      <w:r>
        <w:t>1.3. Тарифы на перевозку по договору ЛЛ-2025/05 согласуются сторонами приложением на каждый квартал; стоимость доставки конкретной партии указывается в спецификации либо в счёте на оплату услуг доставки.</w:t>
      </w:r>
    </w:p>
    <w:p>
      <w:pPr>
        <w:pStyle w:val="Heading2"/>
      </w:pPr>
      <w:r>
        <w:t>2. Порядок передачи груза перевозчику</w:t>
      </w:r>
    </w:p>
    <w:p>
      <w:r>
        <w:t>2.1. Начальник склада готовой продукции передаёт груз перевозчику ООО «Логистик-Лайн» при наличии заявки на перевозку и товаросопроводительных документов на партию.</w:t>
      </w:r>
    </w:p>
    <w:p>
      <w:r>
        <w:t>2.2. При передаче груза перевозчику проверяется соответствие количества грузовых мест количеству, указанному в товаросопроводительных документах, и целостность упаковки.</w:t>
      </w:r>
    </w:p>
    <w:p>
      <w:pPr>
        <w:pStyle w:val="Heading2"/>
      </w:pPr>
      <w:r>
        <w:t>3. Переход права собственности и риска</w:t>
      </w:r>
    </w:p>
    <w:p>
      <w:r>
        <w:t>3.1. Право собственности на продукцию и риск её случайной гибели или повреждения переходят от Поставщика к Покупателю в момент передачи продукции Покупателю при самовывозе либо в момент передачи продукции перевозчику при доставке транспортом, привлечённым Поставщиком, если иное не установлено спецификацией.</w:t>
      </w:r>
    </w:p>
    <w:p>
      <w:pPr>
        <w:pStyle w:val="Heading2"/>
      </w:pPr>
      <w:r>
        <w:t>4. Сроки доставки</w:t>
      </w:r>
    </w:p>
    <w:p>
      <w:r>
        <w:t>4.1. Срок доставки продукции транспортом ООО «Логистик-Лайн» определяется расстоянием до склада Покупателя и указывается в заявке на перевозку; ориентировочный срок доставки менеджер по продажам сообщает Покупателю при подтверждении заказа в порядке, установленном регламентом SALES-REGL-ZAKAZ.</w:t>
      </w:r>
    </w:p>
    <w:p>
      <w:r>
        <w:t>4.2. Срок доставки не входит в срок изготовления партии, установленный документом SALES-SROKI-2026, и исчисляется отдельно с даты передачи груза перевозчику.</w:t>
      </w:r>
    </w:p>
    <w:p>
      <w:pPr>
        <w:pStyle w:val="Heading2"/>
      </w:pPr>
      <w:r>
        <w:t>5. Приёмка груза от перевозчика</w:t>
      </w:r>
    </w:p>
    <w:p>
      <w:r>
        <w:t>5.1. Покупатель или его представитель принимает груз от перевозчика с проверкой количества грузовых мест и целостности упаковки в присутствии представителя перевозчика.</w:t>
      </w:r>
    </w:p>
    <w:p>
      <w:r>
        <w:t>5.2. При обнаружении повреждения упаковки или недостачи грузовых мест составляется акт с участием представителя перевозчика в порядке, установленном приложением SALES-PRIL-KACHESTVO.</w:t>
      </w:r>
    </w:p>
    <w:p>
      <w:pPr>
        <w:pStyle w:val="Heading2"/>
      </w:pPr>
      <w:r>
        <w:t>6. Экспортные поставки</w:t>
      </w:r>
    </w:p>
    <w:p>
      <w:r>
        <w:t>6.1. При поставке продукции на экспорт условия поставки, включая базис поставки, устанавливаются экспортным контрактом; товаросопроводительные и технические документы оформляются на русском и английском языках.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