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20.08.2026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01.09.2026</w:t>
      </w:r>
    </w:p>
    <w:p>
      <w:pPr>
        <w:pStyle w:val="Title"/>
      </w:pPr>
      <w:r>
        <w:t>Приложение: упаковка, консервация и маркировка</w:t>
      </w:r>
    </w:p>
    <w:p>
      <w:r>
        <w:t>Настоящее приложение является неотъемлемой частью договора поставки продукции, заключаемого по типовой форме SALES-DOG-TIPOVOY, и устанавливает требования к упаковке, консервации и маркировке продукции при отгрузке.</w:t>
      </w:r>
    </w:p>
    <w:p>
      <w:pPr>
        <w:pStyle w:val="Heading2"/>
      </w:pPr>
      <w:r>
        <w:t>1. Консервация</w:t>
      </w:r>
    </w:p>
    <w:p>
      <w:r>
        <w:t>1.1. Обработанные металлические поверхности продукции, не защищённые гальваническим или лакокрасочным покрытием, консервируются маслом консервационным К-17.</w:t>
      </w:r>
    </w:p>
    <w:p>
      <w:r>
        <w:t>1.2. Контроль качества консервации выполняется по методике ОТК-МИ-008 в части равномерности нанесения покрытия на все незащищённые поверхности изделия.</w:t>
      </w:r>
    </w:p>
    <w:p>
      <w:r>
        <w:t>1.3. Узлы в сборе (артикулы RD-881453, RD-881454) консервируются на участке консервации и упаковки цеха №6 Тольяттинской площадки перед отгрузкой.</w:t>
      </w:r>
    </w:p>
    <w:p>
      <w:pPr>
        <w:pStyle w:val="Heading2"/>
      </w:pPr>
      <w:r>
        <w:t>2. Упаковка</w:t>
      </w:r>
    </w:p>
    <w:p>
      <w:r>
        <w:t>2.1. Детали и узлы упаковываются в тару, исключающую механическое повреждение и загрязнение продукции при транспортировании.</w:t>
      </w:r>
    </w:p>
    <w:p>
      <w:r>
        <w:t>2.2. Штоки гидроцилиндров с хромированной рабочей поверхностью упаковываются с дополнительной защитой рабочей поверхности от контакта с другими изделиями и элементами тары.</w:t>
      </w:r>
    </w:p>
    <w:p>
      <w:r>
        <w:t>2.3. Тип тары и способ упаковки для конкретной партии указываются в спецификации к договору поставки либо согласуются сторонами дополнительно.</w:t>
      </w:r>
    </w:p>
    <w:p>
      <w:pPr>
        <w:pStyle w:val="Heading2"/>
      </w:pPr>
      <w:r>
        <w:t>3. Маркировка</w:t>
      </w:r>
    </w:p>
    <w:p>
      <w:r>
        <w:t>3.1. Маркировка наносится на каждое изделие или на упаковку изделий мелкой номенклатуры и включает: обозначение изделия, номер партии, дату изготовления и клеймо ОТК.</w:t>
      </w:r>
    </w:p>
    <w:p>
      <w:r>
        <w:t>3.2. Чёткость маркировки контролируется по методике ОТК-МИ-008.</w:t>
      </w:r>
    </w:p>
    <w:p>
      <w:r>
        <w:t>3.3. На транспортную тару дополнительно наносится маркировка грузового места: наименование Поставщика, наименование Покупателя, номер договора, количество изделий в месте, масса брутто.</w:t>
      </w:r>
    </w:p>
    <w:p>
      <w:pPr>
        <w:pStyle w:val="Heading2"/>
      </w:pPr>
      <w:r>
        <w:t>4. Товаросопроводительные документы</w:t>
      </w:r>
    </w:p>
    <w:p>
      <w:r>
        <w:t>4.1. Товаросопроводительные документы (товарная накладная или универсальный передаточный документ, сертификат либо паспорт качества) передаются Покупателю вместе с партией продукции — внутри упаковки либо на упаковке, в порядке, согласованном сторонами.</w:t>
      </w:r>
    </w:p>
    <w:p>
      <w:r>
        <w:t>4.2. Комплектность товаросопроводительных документов контролируется по методике ОТК-МИ-008 перед отгрузкой.</w:t>
      </w:r>
    </w:p>
    <w:p>
      <w:pPr>
        <w:pStyle w:val="Heading2"/>
      </w:pPr>
      <w:r>
        <w:t>5. Ответственность за несоблюдение требований</w:t>
      </w:r>
    </w:p>
    <w:p>
      <w:r>
        <w:t>5.1. Продукция, не соответствующая требованиям настоящего приложения по упаковке, консервации или маркировке, к отгрузке не допускается.</w:t>
      </w:r>
    </w:p>
    <w:p>
      <w:r>
        <w:t>5.2. Решение о допуске к отгрузке продукции с отклонениями от настоящего приложения принимает начальник склада готовой продукции по согласованию с менеджером по продажам.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