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20.08.2026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01.09.2026</w:t>
      </w:r>
    </w:p>
    <w:p>
      <w:r>
        <w:rPr>
          <w:i/>
        </w:rPr>
        <w:t>Для служебного пользования</w:t>
      </w:r>
    </w:p>
    <w:p>
      <w:pPr>
        <w:pStyle w:val="Title"/>
      </w:pPr>
      <w:r>
        <w:t>Регламент применения скидок и дилерской матрицы</w:t>
      </w:r>
    </w:p>
    <w:p>
      <w:pPr>
        <w:pStyle w:val="Heading2"/>
      </w:pPr>
      <w:r>
        <w:t>1. Назначение</w:t>
      </w:r>
    </w:p>
    <w:p>
      <w:r>
        <w:t>1.1. Настоящий регламент устанавливает категории скидок от цены прайс-листа, применяемых при расчёте коммерческих предложений и заключении договоров поставки, и порядок согласования скидок, превышающих установленные значения.</w:t>
      </w:r>
    </w:p>
    <w:p>
      <w:r>
        <w:t>1.2. Регламент имеет гриф «для служебного пользования» и не подлежит передаче заказчикам и третьим лицам.</w:t>
      </w:r>
    </w:p>
    <w:p>
      <w:pPr>
        <w:pStyle w:val="Heading2"/>
      </w:pPr>
      <w:r>
        <w:t>2. Матрица скидок</w:t>
      </w:r>
    </w:p>
    <w:p>
      <w:r>
        <w:t>2.1. Скидки применяются по трём категориям заказчиков — A, B и C — в зависимости от статуса заказчика и объёма заказа.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Базовая скидка</w:t>
            </w:r>
          </w:p>
        </w:tc>
        <w:tc>
          <w:tcPr>
            <w:tcW w:type="dxa" w:w="2160"/>
          </w:tcPr>
          <w:p>
            <w:r>
              <w:t>Порог по сумме заказа</w:t>
            </w:r>
          </w:p>
        </w:tc>
        <w:tc>
          <w:tcPr>
            <w:tcW w:type="dxa" w:w="2160"/>
          </w:tcPr>
          <w:p>
            <w:r>
              <w:t>Дополнительная скидка сверх порога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18 %</w:t>
            </w:r>
          </w:p>
        </w:tc>
        <w:tc>
          <w:tcPr>
            <w:tcW w:type="dxa" w:w="2160"/>
          </w:tcPr>
          <w:p>
            <w:r>
              <w:t>от 1 000 000 ₽</w:t>
            </w:r>
          </w:p>
        </w:tc>
        <w:tc>
          <w:tcPr>
            <w:tcW w:type="dxa" w:w="2160"/>
          </w:tcPr>
          <w:p>
            <w:r>
              <w:t>+ 3 %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12 %</w:t>
            </w:r>
          </w:p>
        </w:tc>
        <w:tc>
          <w:tcPr>
            <w:tcW w:type="dxa" w:w="2160"/>
          </w:tcPr>
          <w:p>
            <w:r>
              <w:t>от 500 000 ₽</w:t>
            </w:r>
          </w:p>
        </w:tc>
        <w:tc>
          <w:tcPr>
            <w:tcW w:type="dxa" w:w="2160"/>
          </w:tcPr>
          <w:p>
            <w:r>
              <w:t>+ 3 %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7 %</w:t>
            </w:r>
          </w:p>
        </w:tc>
        <w:tc>
          <w:tcPr>
            <w:tcW w:type="dxa" w:w="2160"/>
          </w:tcPr>
          <w:p>
            <w:r>
              <w:t>без порога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2.2. Дополнительная скидка по категориям A и B применяется к сумме заказа, рассчитанной по прайс-листу без учёта базовой скидки, при достижении заказом порогового значения, указанного в таблице пункта 2.1.</w:t>
      </w:r>
    </w:p>
    <w:p>
      <w:r>
        <w:t>2.3. Категория C применяется без порогового значения по сумме заказа.</w:t>
      </w:r>
    </w:p>
    <w:p>
      <w:pPr>
        <w:pStyle w:val="Heading2"/>
      </w:pPr>
      <w:r>
        <w:t>3. Присвоение категории заказчику</w:t>
      </w:r>
    </w:p>
    <w:p>
      <w:r>
        <w:t>3.1. Категория заказчика устанавливается коммерческим директором при заключении договора поставки или дилерского договора и фиксируется в договоре.</w:t>
      </w:r>
    </w:p>
    <w:p>
      <w:r>
        <w:t>3.2. Дилерам, работающим по дилерскому договору, категория присваивается договором: например, категория B — по дилерскому договору АТД-2025/06, категория C — по дилерскому договору МТЦ-2025/10.</w:t>
      </w:r>
    </w:p>
    <w:p>
      <w:r>
        <w:t>3.3. Прямым заказчикам, не являющимся дилерами, категория присваивается коммерческим директором исходя из планового годового объёма закупок и истории платёжной дисциплины.</w:t>
      </w:r>
    </w:p>
    <w:p>
      <w:pPr>
        <w:pStyle w:val="Heading2"/>
      </w:pPr>
      <w:r>
        <w:t>4. Согласование скидок сверх матрицы</w:t>
      </w:r>
    </w:p>
    <w:p>
      <w:r>
        <w:t>4.1. Применение скидки, превышающей значения, установленные пунктом 2.1 для присвоенной заказчику категории, согласуется коммерческим директором.</w:t>
      </w:r>
    </w:p>
    <w:p>
      <w:r>
        <w:t>4.2. Согласование оформляется письменной резолюцией коммерческого директора на заявке менеджера по продажам с указанием обоснования и предельного размера согласованной скидки.</w:t>
      </w:r>
    </w:p>
    <w:p>
      <w:r>
        <w:t>4.3. Скидка сверх матрицы, не согласованная коммерческим директором, не применяется ни в коммерческом предложении, ни при выставлении счёта.</w:t>
      </w:r>
    </w:p>
    <w:p>
      <w:pPr>
        <w:pStyle w:val="Heading2"/>
      </w:pPr>
      <w:r>
        <w:t>5. Ограничения на применение скидки</w:t>
      </w:r>
    </w:p>
    <w:p>
      <w:r>
        <w:t>5.1. Скидка любой категории не применяется, если условиями заказа предусмотрена предоплата менее 30 % от суммы заказа.</w:t>
      </w:r>
    </w:p>
    <w:p>
      <w:r>
        <w:t>5.2. При предоплате менее 30 % коммерческое предложение и счёт формируются по полной цене прайс-листа без скидки, независимо от присвоенной заказчику категории.</w:t>
      </w:r>
    </w:p>
    <w:p>
      <w:r>
        <w:t>5.3. Ограничение пункта 5.1 не распространяется на заказчиков с условием оплаты по факту отгрузки, установленным действующим договором поставки на момент утверждения настоящего регламента.</w:t>
      </w:r>
    </w:p>
    <w:p>
      <w:pPr>
        <w:pStyle w:val="Heading2"/>
      </w:pPr>
      <w:r>
        <w:t>6. Контроль применения скидок</w:t>
      </w:r>
    </w:p>
    <w:p>
      <w:r>
        <w:t>6.1. Менеджер по продажам указывает в коммерческом предложении и в заявке на выставление счёта категорию заказчика, размер применённой скидки и основание её применения.</w:t>
      </w:r>
    </w:p>
    <w:p>
      <w:r>
        <w:t>6.2. Коммерческий директор не реже одного раза в квартал проверяет соответствие применённых скидок настоящему регламенту по реестру коммерческих предложений.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