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Шаблон коммерческого предложения с ускоренным сроком изготовления</w:t>
      </w:r>
    </w:p>
    <w:p>
      <w:r>
        <w:t>Коммерческое предложение № КП-2026-119 от 03.09.2026, с ускоренным сроком изготовления.</w:t>
      </w:r>
    </w:p>
    <w:p>
      <w:r>
        <w:t>Заказчик: АО «Редмаш» (договор поставки РМ-2025/01). Составил: менеджер по продажам. Срок действия предложения: 15 календарных дней с даты направления.</w:t>
      </w:r>
    </w:p>
    <w:p>
      <w:pPr>
        <w:pStyle w:val="Heading2"/>
      </w:pPr>
      <w:r>
        <w:t>1. Номенклатура, цена и наценка за срочность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Артикул</w:t>
            </w:r>
          </w:p>
        </w:tc>
        <w:tc>
          <w:tcPr>
            <w:tcW w:type="dxa" w:w="1234"/>
          </w:tcPr>
          <w:p>
            <w:r>
              <w:t>Наименование</w:t>
            </w:r>
          </w:p>
        </w:tc>
        <w:tc>
          <w:tcPr>
            <w:tcW w:type="dxa" w:w="1234"/>
          </w:tcPr>
          <w:p>
            <w:r>
              <w:t>Кол-во, шт.</w:t>
            </w:r>
          </w:p>
        </w:tc>
        <w:tc>
          <w:tcPr>
            <w:tcW w:type="dxa" w:w="1234"/>
          </w:tcPr>
          <w:p>
            <w:r>
              <w:t>Сумма по прайсу, ₽</w:t>
            </w:r>
          </w:p>
        </w:tc>
        <w:tc>
          <w:tcPr>
            <w:tcW w:type="dxa" w:w="1234"/>
          </w:tcPr>
          <w:p>
            <w:r>
              <w:t>Сумма со скидкой категории A (21 %), ₽</w:t>
            </w:r>
          </w:p>
        </w:tc>
        <w:tc>
          <w:tcPr>
            <w:tcW w:type="dxa" w:w="1234"/>
          </w:tcPr>
          <w:p>
            <w:r>
              <w:t>Наценка за срочность</w:t>
            </w:r>
          </w:p>
        </w:tc>
        <w:tc>
          <w:tcPr>
            <w:tcW w:type="dxa" w:w="1234"/>
          </w:tcPr>
          <w:p>
            <w:r>
              <w:t>Сумма к оплате, ₽</w:t>
            </w:r>
          </w:p>
        </w:tc>
      </w:tr>
      <w:tr>
        <w:tc>
          <w:tcPr>
            <w:tcW w:type="dxa" w:w="1234"/>
          </w:tcPr>
          <w:p>
            <w:r>
              <w:t>RD-450789</w:t>
            </w:r>
          </w:p>
        </w:tc>
        <w:tc>
          <w:tcPr>
            <w:tcW w:type="dxa" w:w="1234"/>
          </w:tcPr>
          <w:p>
            <w:r>
              <w:t>Вал выходной редуктора Р-160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592 000</w:t>
            </w:r>
          </w:p>
        </w:tc>
        <w:tc>
          <w:tcPr>
            <w:tcW w:type="dxa" w:w="1234"/>
          </w:tcPr>
          <w:p>
            <w:r>
              <w:t>467 680</w:t>
            </w:r>
          </w:p>
        </w:tc>
        <w:tc>
          <w:tcPr>
            <w:tcW w:type="dxa" w:w="1234"/>
          </w:tcPr>
          <w:p>
            <w:r>
              <w:t>20 %</w:t>
            </w:r>
          </w:p>
        </w:tc>
        <w:tc>
          <w:tcPr>
            <w:tcW w:type="dxa" w:w="1234"/>
          </w:tcPr>
          <w:p>
            <w:r>
              <w:t>561 216</w:t>
            </w:r>
          </w:p>
        </w:tc>
      </w:tr>
      <w:tr>
        <w:tc>
          <w:tcPr>
            <w:tcW w:type="dxa" w:w="1234"/>
          </w:tcPr>
          <w:p>
            <w:r>
              <w:t>RD-523110</w:t>
            </w:r>
          </w:p>
        </w:tc>
        <w:tc>
          <w:tcPr>
            <w:tcW w:type="dxa" w:w="1234"/>
          </w:tcPr>
          <w:p>
            <w:r>
              <w:t>Шестерня цилиндрическая z=24, m=4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326 000</w:t>
            </w:r>
          </w:p>
        </w:tc>
        <w:tc>
          <w:tcPr>
            <w:tcW w:type="dxa" w:w="1234"/>
          </w:tcPr>
          <w:p>
            <w:r>
              <w:t>257 540</w:t>
            </w:r>
          </w:p>
        </w:tc>
        <w:tc>
          <w:tcPr>
            <w:tcW w:type="dxa" w:w="1234"/>
          </w:tcPr>
          <w:p>
            <w:r>
              <w:t>25 %</w:t>
            </w:r>
          </w:p>
        </w:tc>
        <w:tc>
          <w:tcPr>
            <w:tcW w:type="dxa" w:w="1234"/>
          </w:tcPr>
          <w:p>
            <w:r>
              <w:t>321 925</w:t>
            </w:r>
          </w:p>
        </w:tc>
      </w:tr>
      <w:tr>
        <w:tc>
          <w:tcPr>
            <w:tcW w:type="dxa" w:w="1234"/>
          </w:tcPr>
          <w:p>
            <w:r>
              <w:t>RD-610520</w:t>
            </w:r>
          </w:p>
        </w:tc>
        <w:tc>
          <w:tcPr>
            <w:tcW w:type="dxa" w:w="1234"/>
          </w:tcPr>
          <w:p>
            <w:r>
              <w:t>Корпус редуктора Р-160, нижняя часть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183 000</w:t>
            </w:r>
          </w:p>
        </w:tc>
        <w:tc>
          <w:tcPr>
            <w:tcW w:type="dxa" w:w="1234"/>
          </w:tcPr>
          <w:p>
            <w:r>
              <w:t>144 570</w:t>
            </w:r>
          </w:p>
        </w:tc>
        <w:tc>
          <w:tcPr>
            <w:tcW w:type="dxa" w:w="1234"/>
          </w:tcPr>
          <w:p>
            <w:r>
              <w:t>25 %</w:t>
            </w:r>
          </w:p>
        </w:tc>
        <w:tc>
          <w:tcPr>
            <w:tcW w:type="dxa" w:w="1234"/>
          </w:tcPr>
          <w:p>
            <w:r>
              <w:t>180 713</w:t>
            </w:r>
          </w:p>
        </w:tc>
      </w:tr>
    </w:tbl>
    <w:p>
      <w:r>
        <w:t>1.1. Итого к оплате без НДС: 1 063 854 ₽; суммы округлены до целого рубля.</w:t>
      </w:r>
    </w:p>
    <w:p>
      <w:r>
        <w:t>1.2. Наценка за срочность начисляется на цену партии после применения скидки категории заказчика и не суммируется со скидкой сверх матрицы.</w:t>
      </w:r>
    </w:p>
    <w:p>
      <w:pPr>
        <w:pStyle w:val="Heading2"/>
      </w:pPr>
      <w:r>
        <w:t>2. Сроки изготовления при ускоренном заказе</w:t>
      </w:r>
    </w:p>
    <w:p>
      <w:r>
        <w:t>2.1. Ускоренный срок изготовления вала 45.67.89 (группа «валы и оси») — 12 рабочих дней с наценкой 20 % в соответствии с документом SALES-SROKI-2026.</w:t>
      </w:r>
    </w:p>
    <w:p>
      <w:r>
        <w:t>2.2. Ускоренный срок изготовления шестерни 52.31.10 (группа «шестерни и колёса») — 18 рабочих дней с наценкой 25 %.</w:t>
      </w:r>
    </w:p>
    <w:p>
      <w:r>
        <w:t>2.3. Ускоренный срок изготовления корпуса 61.05.20 (группа «корпусные детали») — 20 рабочих дней с наценкой 25 %.</w:t>
      </w:r>
    </w:p>
    <w:p>
      <w:r>
        <w:t>2.4. Партия готова к отгрузке по наиболее позднему из указанных ускоренных сроков, если заказчик не запросит раздельную отгрузку по мере готовности каждой позиции.</w:t>
      </w:r>
    </w:p>
    <w:p>
      <w:pPr>
        <w:pStyle w:val="Heading2"/>
      </w:pPr>
      <w:r>
        <w:t>3. Условия применения ускоренного срока</w:t>
      </w:r>
    </w:p>
    <w:p>
      <w:r>
        <w:t>3.1. Ускоренное изготовление подтверждается менеджером по продажам только после проверки текущей загрузки цехов, выполняемой в порядке, установленном регламентом SALES-REGL-ZAKAZ.</w:t>
      </w:r>
    </w:p>
    <w:p>
      <w:r>
        <w:t>3.2. При отсутствии свободных производственных мощностей на дату заявки менеджер по продажам сообщает заказчику ближайший возможный ускоренный срок либо предлагает стандартный срок изготовления по документу SALES-SROKI-2026.</w:t>
      </w:r>
    </w:p>
    <w:p>
      <w:pPr>
        <w:pStyle w:val="Heading2"/>
      </w:pPr>
      <w:r>
        <w:t>4. Прочие условия</w:t>
      </w:r>
    </w:p>
    <w:p>
      <w:r>
        <w:t>4.1. Условия оплаты, качества, гарантии и поставки соответствуют условиям, установленным в шаблоне SALES-SHABLON-KP и приложениям к договору РМ-2025/01.</w:t>
      </w:r>
    </w:p>
    <w:p>
      <w:r>
        <w:t>4.2. Для подтверждения заказа с ускоренным сроком заказчику необходимо направить подписанную спецификацию и обеспечить условия оплаты, установленные договором, в срок действия настоящего предложения.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