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20.08.2026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01.09.2026</w:t>
      </w:r>
    </w:p>
    <w:p>
      <w:pPr>
        <w:pStyle w:val="Title"/>
      </w:pPr>
      <w:r>
        <w:t>Шаблон коммерческого предложения</w:t>
      </w:r>
    </w:p>
    <w:p>
      <w:r>
        <w:t>Коммерческое предложение № КП-2026-118 от 03.09.2026.</w:t>
      </w:r>
    </w:p>
    <w:p>
      <w:r>
        <w:t>Заказчик: АО «Редмаш» (договор поставки РМ-2025/01). Составил: менеджер по продажам. Срок действия предложения: 15 календарных дней с даты направления.</w:t>
      </w:r>
    </w:p>
    <w:p>
      <w:pPr>
        <w:pStyle w:val="Heading2"/>
      </w:pPr>
      <w:r>
        <w:t>1. Номенклатура и цена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Артикул</w:t>
            </w:r>
          </w:p>
        </w:tc>
        <w:tc>
          <w:tcPr>
            <w:tcW w:type="dxa" w:w="1440"/>
          </w:tcPr>
          <w:p>
            <w:r>
              <w:t>Чертёжный №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Кол-во, шт.</w:t>
            </w:r>
          </w:p>
        </w:tc>
        <w:tc>
          <w:tcPr>
            <w:tcW w:type="dxa" w:w="1440"/>
          </w:tcPr>
          <w:p>
            <w:r>
              <w:t>Цена за ед., ₽ без НДС</w:t>
            </w:r>
          </w:p>
        </w:tc>
        <w:tc>
          <w:tcPr>
            <w:tcW w:type="dxa" w:w="1440"/>
          </w:tcPr>
          <w:p>
            <w:r>
              <w:t>Сумма, ₽ без НДС</w:t>
            </w:r>
          </w:p>
        </w:tc>
      </w:tr>
      <w:tr>
        <w:tc>
          <w:tcPr>
            <w:tcW w:type="dxa" w:w="1440"/>
          </w:tcPr>
          <w:p>
            <w:r>
              <w:t>RD-450789</w:t>
            </w:r>
          </w:p>
        </w:tc>
        <w:tc>
          <w:tcPr>
            <w:tcW w:type="dxa" w:w="1440"/>
          </w:tcPr>
          <w:p>
            <w:r>
              <w:t>45.67.89</w:t>
            </w:r>
          </w:p>
        </w:tc>
        <w:tc>
          <w:tcPr>
            <w:tcW w:type="dxa" w:w="1440"/>
          </w:tcPr>
          <w:p>
            <w:r>
              <w:t>Вал выходной редуктора Р-160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14 800</w:t>
            </w:r>
          </w:p>
        </w:tc>
        <w:tc>
          <w:tcPr>
            <w:tcW w:type="dxa" w:w="1440"/>
          </w:tcPr>
          <w:p>
            <w:r>
              <w:t>592 000</w:t>
            </w:r>
          </w:p>
        </w:tc>
      </w:tr>
      <w:tr>
        <w:tc>
          <w:tcPr>
            <w:tcW w:type="dxa" w:w="1440"/>
          </w:tcPr>
          <w:p>
            <w:r>
              <w:t>RD-523110</w:t>
            </w:r>
          </w:p>
        </w:tc>
        <w:tc>
          <w:tcPr>
            <w:tcW w:type="dxa" w:w="1440"/>
          </w:tcPr>
          <w:p>
            <w:r>
              <w:t>52.31.10</w:t>
            </w:r>
          </w:p>
        </w:tc>
        <w:tc>
          <w:tcPr>
            <w:tcW w:type="dxa" w:w="1440"/>
          </w:tcPr>
          <w:p>
            <w:r>
              <w:t>Шестерня цилиндрическая z=24, m=4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16 300</w:t>
            </w:r>
          </w:p>
        </w:tc>
        <w:tc>
          <w:tcPr>
            <w:tcW w:type="dxa" w:w="1440"/>
          </w:tcPr>
          <w:p>
            <w:r>
              <w:t>326 000</w:t>
            </w:r>
          </w:p>
        </w:tc>
      </w:tr>
      <w:tr>
        <w:tc>
          <w:tcPr>
            <w:tcW w:type="dxa" w:w="1440"/>
          </w:tcPr>
          <w:p>
            <w:r>
              <w:t>RD-610520</w:t>
            </w:r>
          </w:p>
        </w:tc>
        <w:tc>
          <w:tcPr>
            <w:tcW w:type="dxa" w:w="1440"/>
          </w:tcPr>
          <w:p>
            <w:r>
              <w:t>61.05.20</w:t>
            </w:r>
          </w:p>
        </w:tc>
        <w:tc>
          <w:tcPr>
            <w:tcW w:type="dxa" w:w="1440"/>
          </w:tcPr>
          <w:p>
            <w:r>
              <w:t>Корпус редуктора Р-160, нижняя часть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61 000</w:t>
            </w:r>
          </w:p>
        </w:tc>
        <w:tc>
          <w:tcPr>
            <w:tcW w:type="dxa" w:w="1440"/>
          </w:tcPr>
          <w:p>
            <w:r>
              <w:t>183 000</w:t>
            </w:r>
          </w:p>
        </w:tc>
      </w:tr>
    </w:tbl>
    <w:p>
      <w:r>
        <w:t>1.1. Итого по прайс-листу без скидки: 1 101 000 ₽.</w:t>
      </w:r>
    </w:p>
    <w:p>
      <w:pPr>
        <w:pStyle w:val="Heading2"/>
      </w:pPr>
      <w:r>
        <w:t>2. Скидка и итоговая цена</w:t>
      </w:r>
    </w:p>
    <w:p>
      <w:r>
        <w:t>2.1. Заказчику АО «Редмаш» присвоена категория A согласно регламенту SALES-REGL-SKIDKI.</w:t>
      </w:r>
    </w:p>
    <w:p>
      <w:r>
        <w:t>2.2. Сумма заказа превышает порог 1 000 000 ₽, установленный для категории A, поэтому применяется скидка 21 % (базовая скидка 18 % плюс дополнительная скидка 3 % за превышение порога).</w:t>
      </w:r>
    </w:p>
    <w:p>
      <w:r>
        <w:t>2.3. Сумма со скидкой без НДС: 869 790 ₽.</w:t>
      </w:r>
    </w:p>
    <w:p>
      <w:r>
        <w:t>2.4. НДС по ставке, установленной статьёй 164 Налогового кодекса Российской Федерации, начисляется дополнительно к сумме пункта 2.3 и указывается в счёте на оплату.</w:t>
      </w:r>
    </w:p>
    <w:p>
      <w:pPr>
        <w:pStyle w:val="Heading2"/>
      </w:pPr>
      <w:r>
        <w:t>3. Условия поставки</w:t>
      </w:r>
    </w:p>
    <w:p>
      <w:r>
        <w:t>3.1. Срок изготовления партии: 21 рабочий день с даты подписания спецификации — для валов и шестерён; 30 рабочих дней — для корпусной детали, в соответствии с документом SALES-SROKI-2026.</w:t>
      </w:r>
    </w:p>
    <w:p>
      <w:r>
        <w:t>3.2. Партия готова к отгрузке по наиболее позднему сроку изготовления из указанных в пункте 3.1, если заказчик не запросит раздельную отгрузку по мере готовности каждой позиции.</w:t>
      </w:r>
    </w:p>
    <w:p>
      <w:r>
        <w:t>3.3. Условия оплаты — по договору РМ-2025/01: отсрочка 45 календарных дней с даты поставки.</w:t>
      </w:r>
    </w:p>
    <w:p>
      <w:r>
        <w:t>3.4. Поставка осуществляется самовывозом со склада готовой продукции в Тольятти либо доставкой транспортом, привлечённым Поставщиком, по выбору Покупателя.</w:t>
      </w:r>
    </w:p>
    <w:p>
      <w:pPr>
        <w:pStyle w:val="Heading2"/>
      </w:pPr>
      <w:r>
        <w:t>4. Качество и гарантия</w:t>
      </w:r>
    </w:p>
    <w:p>
      <w:r>
        <w:t>4.1. Продукция изготавливается по техническим условиям на соответствующее изделие; на вал выходной редуктора Р-160 — TU-45-67-89.</w:t>
      </w:r>
    </w:p>
    <w:p>
      <w:r>
        <w:t>4.2. Гарантийный срок на продукцию — 12 месяцев с даты отгрузки в соответствии с приложением SALES-PRIL-GARANTIYA.</w:t>
      </w:r>
    </w:p>
    <w:p>
      <w:pPr>
        <w:pStyle w:val="Heading2"/>
      </w:pPr>
      <w:r>
        <w:t>5. Порядок подтверждения заказа</w:t>
      </w:r>
    </w:p>
    <w:p>
      <w:r>
        <w:t>5.1. Для подтверждения заказа заказчику необходимо направить подписанную спецификацию к договору РМ-2025/01 в срок действия настоящего предложения.</w:t>
      </w:r>
    </w:p>
    <w:p>
      <w:r>
        <w:t>5.2. После получения подписанной спецификации заказ оформляется в производство в порядке, установленном регламентом SALES-REGL-ZAKAZ.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